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emf" ContentType="image/x-emf"/>
  <Override PartName="/word/media/image4.emf" ContentType="image/x-emf"/>
  <Override PartName="/word/media/image5.emf" ContentType="image/x-emf"/>
  <Override PartName="/word/media/image6.emf" ContentType="image/x-emf"/>
  <Override PartName="/word/media/image7.emf" ContentType="image/x-emf"/>
  <Override PartName="/word/media/image8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embeddings/oleObject1.xlsx" ContentType="application/vnd.openxmlformats-officedocument.spreadsheetml.sheet"/>
  <Override PartName="/word/embeddings/oleObject2.xlsx" ContentType="application/vnd.openxmlformats-officedocument.spreadsheetml.sheet"/>
  <Override PartName="/word/embeddings/oleObject3.xlsx" ContentType="application/vnd.openxmlformats-officedocument.spreadsheetml.sheet"/>
  <Override PartName="/word/embeddings/oleObject4.xlsx" ContentType="application/vnd.openxmlformats-officedocument.spreadsheetml.sheet"/>
  <Override PartName="/word/embeddings/oleObject5.xlsx" ContentType="application/vnd.openxmlformats-officedocument.spreadsheetml.shee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957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57"/>
      </w:tblGrid>
      <w:tr>
        <w:trPr/>
        <w:tc>
          <w:tcPr>
            <w:tcW w:w="9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32"/>
                <w:szCs w:val="32"/>
              </w:rPr>
            </w:pPr>
            <w:r>
              <w:rPr>
                <w:rFonts w:cs="Calibri" w:ascii="Arial" w:hAnsi="Arial"/>
                <w:color w:val="000000"/>
                <w:sz w:val="32"/>
                <w:szCs w:val="32"/>
              </w:rPr>
              <w:t>PREFEITURA DE POÇOS DE CALDAS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32"/>
                <w:szCs w:val="32"/>
              </w:rPr>
            </w:pPr>
            <w:r>
              <w:rPr>
                <w:rFonts w:cs="Calibri" w:ascii="Arial" w:hAnsi="Arial"/>
                <w:color w:val="000000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32"/>
                <w:szCs w:val="32"/>
              </w:rPr>
            </w:pPr>
            <w:r>
              <w:rPr>
                <w:rFonts w:cs="Calibri" w:ascii="Arial" w:hAnsi="Arial"/>
                <w:color w:val="000000"/>
                <w:sz w:val="32"/>
                <w:szCs w:val="32"/>
              </w:rPr>
              <w:t>SECRETARIA MUNICIPAL DE SAÚDE</w:t>
            </w:r>
          </w:p>
          <w:p>
            <w:pPr>
              <w:pStyle w:val="Normal"/>
              <w:widowControl w:val="false"/>
              <w:rPr>
                <w:rFonts w:ascii="Arial" w:hAnsi="Arial" w:eastAsia="Calibri" w:cs="Calibri"/>
                <w:color w:val="000000"/>
              </w:rPr>
            </w:pPr>
            <w:r>
              <w:rPr>
                <w:rFonts w:eastAsia="Calibri" w:cs="Calibri" w:ascii="Arial" w:hAnsi="Arial"/>
                <w:color w:val="000000"/>
              </w:rPr>
              <w:t xml:space="preserve">           </w:t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48"/>
                <w:szCs w:val="48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48"/>
                <w:szCs w:val="48"/>
                <w:shd w:fill="auto" w:val="clear"/>
              </w:rPr>
              <w:t>RELATÓRIO QUADRIMESTRAL DE GESTÃO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48"/>
                <w:szCs w:val="48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48"/>
                <w:szCs w:val="48"/>
                <w:shd w:fill="auto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Arial" w:hAnsi="Arial" w:cs="Calibri"/>
                <w:color w:val="000000"/>
                <w:sz w:val="48"/>
                <w:szCs w:val="48"/>
              </w:rPr>
            </w:pPr>
            <w:r>
              <w:rPr>
                <w:rFonts w:cs="Calibri" w:ascii="Arial" w:hAnsi="Arial"/>
                <w:color w:val="000000"/>
                <w:sz w:val="48"/>
                <w:szCs w:val="48"/>
              </w:rPr>
              <w:t>TERCEIRO QUADRIMESTRE DE 2023</w:t>
            </w:r>
          </w:p>
          <w:p>
            <w:pPr>
              <w:pStyle w:val="Standard"/>
              <w:widowControl w:val="false"/>
              <w:jc w:val="center"/>
              <w:rPr>
                <w:rFonts w:ascii="Arial" w:hAnsi="Arial" w:cs="Calibri"/>
                <w:color w:val="000000"/>
                <w:sz w:val="48"/>
                <w:szCs w:val="48"/>
              </w:rPr>
            </w:pPr>
            <w:r>
              <w:rPr>
                <w:rFonts w:cs="Calibri" w:ascii="Arial" w:hAnsi="Arial"/>
                <w:color w:val="000000"/>
                <w:sz w:val="48"/>
                <w:szCs w:val="48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Arial" w:hAnsi="Arial" w:cs="Calibri"/>
                <w:color w:val="000000"/>
                <w:sz w:val="40"/>
                <w:szCs w:val="40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40"/>
                <w:szCs w:val="40"/>
                <w:shd w:fill="auto" w:val="clear"/>
              </w:rPr>
              <w:t>(SETEMBRO, OUTUBRO, NOVEMBRO, DEZEMBRO)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  <w:t>POÇOS DE CALDAS</w:t>
            </w:r>
          </w:p>
          <w:p>
            <w:pPr>
              <w:pStyle w:val="Standard"/>
              <w:widowControl w:val="false"/>
              <w:spacing w:lineRule="auto" w:line="360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  <w:t>JANEIRO DE 2024</w:t>
            </w:r>
          </w:p>
          <w:p>
            <w:pPr>
              <w:pStyle w:val="Standard"/>
              <w:widowControl w:val="false"/>
              <w:spacing w:lineRule="auto" w:line="360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Standard"/>
              <w:widowControl w:val="false"/>
              <w:spacing w:lineRule="auto" w:line="3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spacing w:lineRule="atLeast" w:line="100" w:before="0" w:after="0"/>
        <w:jc w:val="center"/>
        <w:rPr>
          <w:rFonts w:ascii="Calibri" w:hAnsi="Calibri" w:cs="Calibri"/>
          <w:b/>
          <w:b/>
          <w:bCs/>
          <w:shd w:fill="auto" w:val="clear"/>
        </w:rPr>
      </w:pPr>
      <w:r>
        <w:rPr>
          <w:rFonts w:cs="Calibri" w:ascii="Calibri" w:hAnsi="Calibri"/>
          <w:b/>
          <w:bCs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cs="Calibri"/>
          <w:b/>
          <w:b/>
          <w:bCs/>
          <w:shd w:fill="auto" w:val="clear"/>
        </w:rPr>
      </w:pPr>
      <w:r>
        <w:rPr>
          <w:rFonts w:cs="Calibri" w:ascii="Calibri" w:hAnsi="Calibri"/>
          <w:b/>
          <w:bCs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cs="Calibri"/>
          <w:b/>
          <w:b/>
          <w:bCs/>
          <w:shd w:fill="auto" w:val="clear"/>
        </w:rPr>
      </w:pPr>
      <w:r>
        <w:rPr>
          <w:rFonts w:cs="Calibri" w:ascii="Calibri" w:hAnsi="Calibri"/>
          <w:b/>
          <w:bCs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cs="Calibri"/>
          <w:b/>
          <w:b/>
          <w:bCs/>
          <w:shd w:fill="auto" w:val="clear"/>
        </w:rPr>
      </w:pPr>
      <w:r>
        <w:rPr>
          <w:rFonts w:cs="Calibri" w:ascii="Calibri" w:hAnsi="Calibri"/>
          <w:b/>
          <w:bCs/>
          <w:shd w:fill="auto" w:val="clear"/>
        </w:rPr>
        <w:t>FICHA TÉCNICA</w:t>
      </w:r>
    </w:p>
    <w:p>
      <w:pPr>
        <w:pStyle w:val="Normal"/>
        <w:spacing w:lineRule="atLeast" w:line="100" w:before="0" w:after="0"/>
        <w:jc w:val="center"/>
        <w:rPr>
          <w:rFonts w:ascii="Calibri" w:hAnsi="Calibri" w:cs="Calibri"/>
          <w:shd w:fill="auto" w:val="clear"/>
        </w:rPr>
      </w:pPr>
      <w:r>
        <w:rPr>
          <w:rFonts w:cs="Calibri" w:ascii="Calibri" w:hAnsi="Calibri"/>
          <w:shd w:fill="auto" w:val="clear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4"/>
        <w:gridCol w:w="4933"/>
      </w:tblGrid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left"/>
              <w:rPr>
                <w:rFonts w:ascii="Calibri" w:hAnsi="Calibri" w:cs="Calibri"/>
                <w:b w:val="false"/>
                <w:b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Sérgio Azevedo</w:t>
            </w:r>
            <w:r>
              <w:rPr>
                <w:rFonts w:cs="Calibri" w:ascii="Arial" w:hAnsi="Arial"/>
                <w:i/>
                <w:iCs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Prefeito de Poços de Caldas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Gestão 01/01/2021 a 31/12/2024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sz w:val="24"/>
                <w:szCs w:val="24"/>
                <w:shd w:fill="auto" w:val="clear"/>
              </w:rPr>
              <w:t>Júlio César Freitas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 xml:space="preserve">Vice Prefeito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/>
                <w:iCs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/>
                <w:iCs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sz w:val="24"/>
                <w:szCs w:val="24"/>
                <w:shd w:fill="auto" w:val="clear"/>
              </w:rPr>
              <w:t>Thiago de Paula Mariano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Secretário Municipal de Saúde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sz w:val="24"/>
                <w:szCs w:val="24"/>
                <w:shd w:fill="auto" w:val="clear"/>
              </w:rPr>
              <w:t>Carlos Eduardo Almeida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Secretário Adjunto de Saúde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i/>
                <w:i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/>
                <w:i/>
                <w:iCs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/>
                <w:iCs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4933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/>
                <w:iCs/>
                <w:color w:val="000000"/>
                <w:sz w:val="22"/>
                <w:szCs w:val="22"/>
                <w:shd w:fill="auto" w:val="clear"/>
              </w:rPr>
              <w:t>Equipe Técnica Responsável: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Elisandra de Souza Pizzol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 xml:space="preserve">Diretora do Departamento de Controle e Avaliação 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João Carlos Naldoni Júnior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de Média e Alta Complexidade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Marlei Cristina dos Santos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do Núcleo de Programação Assistencial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Fabricio de Oliveira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 do Departamento Gestão Administrativo-Financeiro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Luiz Carlos da Silva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da Divisão de Suprimentos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Ronaldo Tavares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Setor Administrativo-Financeiro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Nilton Gomes Junqueira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 do Departamento de Saúde Coletiva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Edson Avella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da Divisão de Vigilância Sanitária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Juliana Loro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Vigilância Epidemiológica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Jorge Miguel Ferreira do Lago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da Divisão de Vigilância em Saúde Ambiental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Ana Corina Pacheco de Miranda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Diretora Técnica do Hospital Municipal Margarita Morales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Isabella de Cássia Paulino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Administrativa do Hospital Margarita Morales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Welles Meire Alves Cava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Diretora do Departamento de Programas de Saúde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Camila Ferreira Bacelar Donato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de Atenção Básica de Saúde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Cristiane Maria da Costa Silva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de Serviços Odontológicos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Cristina Gadelha Navarro Vieira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de Atenção Psicossocial – CAPS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Sirley Aparecida de Souza Oliveira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de Referência em DST-AIDS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Tereza Cristina Simões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da Divisão Adm. da Unidade de Pronto Atendimento tipo III – UPA III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Michele Cristina Bertozzi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Diretora Técnica da UPA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Heloísa Lessa Barroso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Míriam Cioffi Ayres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Tatiana Bastos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Cilmara dos Santos Molina Lopes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Grupo de Apoio da Atenção Básica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Daiana Clélia de Carvalho Morais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Chefe da Seção do Programa Materno Infantil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Lívia de Almeida Vieira Cava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Assistência Farmacêutica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Nair Teodora Smith Chuva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Diretora do Departamento do Serviço Móvel de Urgência e Emergência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Rosimar Spinelli Sargaço Pinheiro Costa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do SAMU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Wanderlei Monteiro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 Técnico do Hospital Municipal Vereador Gilberto de Mattos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Marcos Cardinalli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do Núcleo de Especialidades Médicas Leste (Hospital Zona Leste)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Isabel Cristina de Oliveira Carvalho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Adm. da Policlínica Central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Dr. Daniel Simão Incrocci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 Clínico da Policlínica Central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</w:tc>
      </w:tr>
    </w:tbl>
    <w:p>
      <w:pPr>
        <w:pStyle w:val="Normal"/>
        <w:spacing w:lineRule="atLeast" w:line="100" w:before="0" w:after="0"/>
        <w:jc w:val="center"/>
        <w:rPr>
          <w:rFonts w:ascii="Calibri" w:hAnsi="Calibri" w:cs="Calibri"/>
          <w:i w:val="false"/>
          <w:i w:val="false"/>
          <w:iCs w:val="false"/>
          <w:sz w:val="22"/>
          <w:szCs w:val="22"/>
          <w:shd w:fill="auto" w:val="clear"/>
        </w:rPr>
      </w:pPr>
      <w:r>
        <w:rPr>
          <w:rFonts w:cs="Calibri" w:ascii="Calibri" w:hAnsi="Calibri"/>
          <w:i w:val="false"/>
          <w:iCs w:val="false"/>
          <w:sz w:val="22"/>
          <w:szCs w:val="22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/>
          <w:i/>
          <w:iCs/>
          <w:sz w:val="22"/>
          <w:szCs w:val="22"/>
          <w:shd w:fill="auto" w:val="clear"/>
        </w:rPr>
      </w:pPr>
      <w:r>
        <w:rPr>
          <w:rFonts w:cs="Calibri" w:ascii="Calibri" w:hAnsi="Calibri"/>
          <w:i/>
          <w:iCs/>
          <w:sz w:val="22"/>
          <w:szCs w:val="22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Calibri"/>
          <w:b/>
          <w:b/>
          <w:bCs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SUMÁRIO</w:t>
      </w:r>
    </w:p>
    <w:tbl>
      <w:tblPr>
        <w:tblW w:w="9660" w:type="dxa"/>
        <w:jc w:val="left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8230"/>
        <w:gridCol w:w="920"/>
      </w:tblGrid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INTRODUÇÃO...............................................................................................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5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82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REDE FÍSICA DE SERVIÇOS PÚBLICOS DE SAÚDE – PRÓPRIOS E PRIVADOS CONTRATADOS.......................................................................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6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RELATÓRIO DAS AÇÕES REALIZADAS....................................................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7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INDICADORES DE MONITORAMENTO........................................................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FF3333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FF3333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24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FF3333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FF3333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Arial" w:hAnsi="Arial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INFORMAÇÕES SOBRE AUDITORIAS .........................................................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27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PRODUÇÃO DOS SERVIÇOS DE SAÚDE....................................…………..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29</w:t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7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</w:tc>
        <w:tc>
          <w:tcPr>
            <w:tcW w:w="823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DEMONSTRATIVO DO MONTANTE E FONTE DOS RECURSOS APLICADOS NO PERÍODO............................................................................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35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 Black" w:hAnsi="Arial Black" w:eastAsia="Bookman Old Style" w:cs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FF3333"/>
                <w:spacing w:val="0"/>
                <w:sz w:val="20"/>
                <w:szCs w:val="20"/>
                <w:u w:val="none"/>
                <w:shd w:fill="auto" w:val="clear"/>
              </w:rPr>
            </w:pPr>
            <w:r>
              <w:rPr>
                <w:rFonts w:eastAsia="Bookman Old Style" w:cs="Arial" w:ascii="Arial Black" w:hAnsi="Arial Black"/>
                <w:b/>
                <w:bCs/>
                <w:i w:val="false"/>
                <w:iCs w:val="false"/>
                <w:caps w:val="false"/>
                <w:smallCaps w:val="false"/>
                <w:color w:val="FF3333"/>
                <w:spacing w:val="0"/>
                <w:sz w:val="20"/>
                <w:szCs w:val="20"/>
                <w:u w:val="none"/>
                <w:shd w:fill="auto" w:val="clear"/>
              </w:rPr>
              <w:t xml:space="preserve"> </w:t>
            </w:r>
          </w:p>
        </w:tc>
        <w:tc>
          <w:tcPr>
            <w:tcW w:w="823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</w:tc>
        <w:tc>
          <w:tcPr>
            <w:tcW w:w="82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rFonts w:ascii="Arial" w:hAnsi="Arial" w:eastAsia="Bookman Old Style" w:cs="Calibri"/>
                <w:b/>
                <w:b/>
                <w:bCs/>
                <w:i w:val="false"/>
                <w:i w:val="false"/>
                <w:iCs w:val="false"/>
                <w:color w:val="FF3333"/>
                <w:sz w:val="24"/>
                <w:szCs w:val="24"/>
                <w:u w:val="none"/>
                <w:shd w:fill="auto" w:val="clear"/>
              </w:rPr>
            </w:pPr>
            <w:r>
              <w:rPr>
                <w:rFonts w:eastAsia="Bookman Old Style" w:cs="Calibri" w:ascii="Arial" w:hAnsi="Arial"/>
                <w:b/>
                <w:bCs/>
                <w:i w:val="false"/>
                <w:iCs w:val="false"/>
                <w:color w:val="FF3333"/>
                <w:sz w:val="24"/>
                <w:szCs w:val="24"/>
                <w:u w:val="none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FF3333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FF3333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Arial" w:hAnsi="Arial" w:cs="Calibri"/>
          <w:sz w:val="24"/>
          <w:szCs w:val="24"/>
          <w:shd w:fill="auto" w:val="clear"/>
        </w:rPr>
      </w:pPr>
      <w:r>
        <w:rPr>
          <w:rFonts w:cs="Calibri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1. INTRODUÇÃO</w:t>
      </w:r>
    </w:p>
    <w:p>
      <w:pPr>
        <w:pStyle w:val="Normal"/>
        <w:spacing w:lineRule="auto" w:line="360" w:before="0" w:after="0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ab/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ab/>
        <w:t xml:space="preserve">Com o Terceiro Relatório Quadrimestral de Gestão/RQ de 2023, a Secretaria Municipal de Saúde/SMS de Poços de Caldas, cumprindo suas responsabilidades legais, de acordo com a Lei Complementar nº 141/2012, dando continuidade ao ciclo de relatórios quadrimestrais referentes ao ano de 2023. </w:t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O conteúdo apresentado neste RQ, está definido pelo Art. 36 da referida Lei:</w:t>
      </w:r>
    </w:p>
    <w:p>
      <w:pPr>
        <w:pStyle w:val="Corpodotexto"/>
        <w:numPr>
          <w:ilvl w:val="0"/>
          <w:numId w:val="2"/>
        </w:numPr>
        <w:spacing w:lineRule="auto" w:line="360" w:before="0" w:after="0"/>
        <w:ind w:left="720" w:right="0" w:hanging="360"/>
        <w:jc w:val="both"/>
        <w:rPr>
          <w:rFonts w:ascii="Arial" w:hAnsi="Arial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Montante e fonte dos recursos aplicados no período;</w:t>
      </w:r>
    </w:p>
    <w:p>
      <w:pPr>
        <w:pStyle w:val="Corpodotexto"/>
        <w:numPr>
          <w:ilvl w:val="0"/>
          <w:numId w:val="2"/>
        </w:numPr>
        <w:spacing w:lineRule="auto" w:line="360" w:before="0" w:after="0"/>
        <w:ind w:left="720" w:right="0" w:hanging="360"/>
        <w:jc w:val="both"/>
        <w:rPr>
          <w:rFonts w:ascii="Arial" w:hAnsi="Arial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hd w:fill="auto" w:val="clear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Auditorias realizadas ou em fase de execução no período e suas recomendações e determinações;</w:t>
      </w:r>
    </w:p>
    <w:p>
      <w:pPr>
        <w:pStyle w:val="Corpodotexto"/>
        <w:numPr>
          <w:ilvl w:val="0"/>
          <w:numId w:val="2"/>
        </w:numPr>
        <w:spacing w:lineRule="auto" w:line="360" w:before="0" w:after="0"/>
        <w:ind w:left="720" w:right="0" w:hanging="360"/>
        <w:jc w:val="both"/>
        <w:rPr>
          <w:rFonts w:ascii="Arial" w:hAnsi="Arial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hd w:fill="auto" w:val="clear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Oferta e produção de serviços públicos na rede assistencial própria, contratada e conveniada, cotejando esses dados com os indicadores de saúde da população em seu âmbito de atuação.</w:t>
      </w:r>
    </w:p>
    <w:p>
      <w:pPr>
        <w:pStyle w:val="Corpodotexto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  <w:tab/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Foram incluídas neste RQ a relação das atividades e ações realizadas pela SMS de Poços de Caldas à luz do que foi priorizado na Programação Anual de Saúde/PAS 2023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  <w:lang w:val="pt-PT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color w:val="auto"/>
          <w:sz w:val="24"/>
          <w:szCs w:val="24"/>
          <w:shd w:fill="auto" w:val="clear"/>
        </w:rPr>
      </w:pPr>
      <w:r>
        <w:rPr>
          <w:rFonts w:cs="Calibri" w:ascii="Calibri" w:hAnsi="Calibri"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b/>
          <w:bCs/>
          <w:color w:val="000000"/>
          <w:shd w:fill="auto" w:val="clear"/>
        </w:rPr>
        <w:t xml:space="preserve">2. </w:t>
      </w: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REDE FÍSICA DE SERVIÇOS PÚBLICOS DE SAÚDE – PRÓPRIOS E PRIVADOS CONTRATADOS</w:t>
      </w:r>
    </w:p>
    <w:p>
      <w:pPr>
        <w:pStyle w:val="Normal"/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ab/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ab/>
        <w:t>A rede própria de assistência à Saúde do município é composta por: 39 equipes de Saúde da família,04 EAP (Equipe de Atenção Básica) 10 equipes de Saúde bucal e 2 unidades básicas convencionais; ainda consta com 01 CEO, equipe de consultório de rua, Centro de Atenção Especializada Saúde da Mulher e da Criança, 03 Núcleos de Especialidades, 02 Pronto Atendimento (UPA e Hospital Municipal Margarita Morales), rede de farmácias públicas, laboratório de análises clínicas, CEREST e serviço de SAE/CTA.</w:t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ab/>
        <w:t xml:space="preserve">O Sistema Único de Saúde/SUS de Poços de Caldas conta com serviços terceirizados que mantém convênio ou contrato com a Prefeitura: Hospital Santa Casa de Poços de Caldas; Hospital Santa Lúcia; APAE; Clínica Santa Clara (internação para dependentes químicos); FUNGOTAC, Cismarpa, Aphas, AADV e contratos para realização de Exames de apoio diagnóstico. </w:t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 RELATÓRIO DAS AÇÕES REALIZADAS</w:t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3.1  Atenção Básica</w:t>
      </w:r>
    </w:p>
    <w:p>
      <w:pPr>
        <w:pStyle w:val="Contedodatabela"/>
        <w:widowControl w:val="false"/>
        <w:numPr>
          <w:ilvl w:val="0"/>
          <w:numId w:val="3"/>
        </w:numPr>
        <w:suppressLineNumbers/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Continuidade do Programa Mais Médicos para o Brasil;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Continuidade do acompanhamento do Bolsa Família pelas equipes AB;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Ações do Programa Saúde na Escola em parceira Equipes de Saúde e Escolas Municipais e Estaduais;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Continuidade das reuniões com os grupos de trabalho e auxiliares administrativos, médicos, agentes comunitários de saúde, auxiliares de higienização e técnicos de enfermagem;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Reunião com o Grupo de Trabalho Intersetorial do PSE;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Reunião com os representantes das Escolas Estaduais e Municipais sobre o PSE;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Reuniões semanais dos profissionais da coordenação para organização do trabalho;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Participações nos conselhos: de saúde, da mulher, do idoso;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Reuniões mensais com os profissionais de apoio, tais como psicólogo, assistente social, professores de educação física, fisioterapeutas e farmacêuticos com o intuito de organização do processo de trabalho;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Reuniões da comissão Previne Brasil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Realização do Evento Xô Dodói nas escolas CAIC, escola Pedro Afonso Junqueira e escola municipal João Pinheiro com o intuito da atualização de carteira de vacina das crianças/adolescentes e familiares;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sobre sífilis para médicos e enfermeiros da atenção básica;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dos técnicos de enfermagem, acolhimento: Fortalecendo nossas habilidades de atendimento;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sobre os indicadores do Previne Brasil e o registro no PEC para médicos e enfermeiros;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Elaboração do Protocolo Municipal de Práticas Integrativas e Complementares;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do novo protocolo municipal de Pré-Natal para médicos e enfermeiros;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com os auxiliares administrativos sobre acolhimento e escuta qualificada;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</w:r>
    </w:p>
    <w:p>
      <w:pPr>
        <w:pStyle w:val="Standard"/>
        <w:widowControl w:val="false"/>
        <w:suppressAutoHyphens w:val="true"/>
        <w:spacing w:lineRule="auto" w:line="360" w:before="0" w:after="0"/>
        <w:jc w:val="center"/>
        <w:textAlignment w:val="baseline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AÇÕES EM DESTAQUE</w:t>
      </w:r>
    </w:p>
    <w:p>
      <w:pPr>
        <w:pStyle w:val="Standard"/>
        <w:widowControl w:val="false"/>
        <w:suppressAutoHyphens w:val="true"/>
        <w:spacing w:lineRule="auto" w:line="360" w:before="0" w:after="0"/>
        <w:jc w:val="center"/>
        <w:textAlignment w:val="baseline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Realização do Evento Xô Dodói nas escolas CAIC, escola Pedro Afonso Junqueira e escola municipal João Pinheiro com o intuito da atualização de carteira de vacina das crianças/adolescentes e familiares;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com os auxiliares administrativos sobre acolhimento e escuta qualificada;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do novo protocolo municipal de Pré-Natal para médicos e enfermeiros;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dos técnicos de enfermagem, acolhimento: Fortalecendo nossas habilidades de atendimento;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Elaboração do Protocolo Municipal de Práticas Integrativas e Complementares;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cs="Calibri"/>
          <w:b/>
          <w:b/>
          <w:bCs/>
          <w:color w:val="000000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3.2.CONTROLE E AVALIAÇÃO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3.2.1.</w:t>
      </w: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CENTRAL DE AGENDAMENTO/SISREG: 39.961 consultas agendadas e 31.009 confirmados no período, 32.287 exames agendados e 25.060 confirmados;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3.2.2. CADASTRO DE ESTABELECIMENTOS DE SAÚDE/CNES: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left"/>
        <w:rPr>
          <w:rFonts w:ascii="Arial" w:hAnsi="Arial"/>
          <w:color w:val="auto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312 </w:t>
      </w:r>
      <w:r>
        <w:rPr>
          <w:rFonts w:eastAsia="Bookman Old Style"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Inclusões, 185 Exclusões cadastrais, 93 Alterações, 80 atendimentos presencial;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670 solicitações atendidas.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left"/>
        <w:rPr>
          <w:rFonts w:ascii="Arial" w:hAnsi="Arial" w:eastAsia="Bookman Old Style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3.2.3. JUNTA REGULADORA DA REDE DE ATENÇÃO À PESSOA COM DEFICIÊNCIA: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i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488 encaminhamentos sendo: 111 encaminhamentos para a APAE, 53 encaminhamentos para ADEFIP, 5 encaminhamentos para a AADV, 99 encaminhamentos para a SASA, 1 encaminhamento para o Conselho Tutelar, 4 CIPTEA, 143 encaminhamentos para REDE.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i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72 pacientes em atendimento em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Equoterapia</w:t>
      </w: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, no terceiro quadrimestre de 2023.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ab/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3.2.4. MONITORAMENTO DE CONTRATOS: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Contratos formalizados 06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Termos Aditivos finalizados 12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Credenciamento Tabelas diferenciadas 03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Contratos Tabelas SUS 01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736" w:leader="none"/>
        </w:tabs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3.2.5. PROGRAMAÇÃO PACTUADA INTEGRADA – PPI: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736" w:leader="none"/>
        </w:tabs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Acompanhamento da movimentação financeira dos municípios da microrregião e realização de contato com a central SISREG para agendamento de procedimentos ambulatoriais de 14 municípios pactuados em Poços de Caldas: 378 agendamentos </w:t>
      </w: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de consultas e exames no período.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3.2.6. REGULAÇÃO/SUPERVISÃO DE FISIOTERAPIA E PROCEDIMENTOS AMBULATORIAIS: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FFFF00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/>
      </w:pPr>
      <w:r>
        <w:rPr>
          <w:rFonts w:eastAsia="Bookman Old Style" w:cs="Calibri" w:ascii="Arial;Helvetica;sans-serif" w:hAnsi="Arial;Helvetica;sans-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4107 </w:t>
      </w: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autorizações para tratamento fisioterapêutico, que se converteram em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49.020 </w:t>
      </w:r>
      <w:r>
        <w:rPr/>
        <w:t xml:space="preserve"> </w:t>
      </w: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sessões de fisioterapia;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630" w:leader="none"/>
          <w:tab w:val="left" w:pos="705" w:leader="none"/>
        </w:tabs>
        <w:spacing w:lineRule="auto" w:line="360" w:before="0" w:after="0"/>
        <w:jc w:val="left"/>
        <w:rPr>
          <w:rFonts w:ascii="Arial" w:hAnsi="Arial"/>
          <w:b/>
          <w:b/>
          <w:bCs/>
          <w:color w:val="auto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 xml:space="preserve">3.2.7. </w:t>
      </w: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</w:rPr>
        <w:t xml:space="preserve">CENTRAL DE INTERNAÇÕES ELETIVAS E DE URGÊNCIA – SUSFÁCIL (internação clínica, cirurgia geral, oncologia, cardiologia, etc):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Total de encaminhamentos para cirurgias: 4.522 sendo 3.276 para Hospital Santa Casa e 1.246 para Hospital Santa Lúcia;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Número de laudos eletivos de internação e cirurgias digitados no SUSFACIL: </w:t>
      </w:r>
      <w:r>
        <w:rPr>
          <w:rFonts w:eastAsia="Bookman Old Style"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4.522.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</w:rPr>
        <w:t>3.2.8. MUTIRÕES DE CIRURGIAS  REALIZADAS EM CARÁTER ELETIVO: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Foram encaminhados 1.383 laudos de AIH's, sendo 938 encaminhados para Hospital Santa Casa e 445 para Hospital Santa Lúcia;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Foram realizados no período 1.026 procedimentos, sendo 644 realizados pelo Hospital Santa Casa e 382 pelo Hospital Santa Lúcia.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</w:rPr>
        <w:t>3.2.9. PROCESSAMENTO E FATURAMENTO SUS: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Envio de 04 arquivos consolidados dos serviços prestados pela rede própria e credenciada.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3.2.10. TRATAMENTO FORA DE DOMICILIO/ TFD:</w:t>
      </w:r>
    </w:p>
    <w:p>
      <w:pPr>
        <w:pStyle w:val="Normal"/>
        <w:spacing w:lineRule="auto" w:line="360" w:before="0" w:after="0"/>
        <w:jc w:val="center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AÇÃO REALIZADA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Entrada de 103 novos laudos para autorização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Número de novos pacientes que foram encaminhados para tratamento em outros municípios: 121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Agendamentos realizados para tratamento fora domicílio: 1070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AÇÕES EM DESTAQUE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Manutenção da agenda de entrada e saídas de documentos referentes a TFD;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Agenda de SIGRAH/BH, cidades com atendimento em MG: Passos, Alfenas, Pouso Alegre, Itajubá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Agenda referente aos atendimentos no estado de São Paulo;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Agendamento de transportes.</w:t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3.3. VIGILÂNCIA SANITÁRIA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Fontepargpadro"/>
          <w:rFonts w:cs="Calibri" w:ascii="Arial" w:hAnsi="Arial"/>
          <w:b/>
          <w:bCs/>
          <w:color w:val="000000"/>
          <w:sz w:val="24"/>
          <w:szCs w:val="24"/>
          <w:shd w:fill="auto" w:val="clear"/>
          <w:lang w:val="pt-BR"/>
        </w:rPr>
        <w:t>AÇÕES REALIZADAS: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Fontepargpadro"/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  <w:lang w:val="pt-BR"/>
        </w:rPr>
        <w:t xml:space="preserve">1- Atividades educativas para a população e setor regulado – caráter de orientação e informação, comunicação de risco sanitário de produtos e serviços para a população, capacitação de profissionais.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Corpodotexto"/>
        <w:numPr>
          <w:ilvl w:val="0"/>
          <w:numId w:val="16"/>
        </w:numPr>
        <w:spacing w:lineRule="auto" w:line="240" w:before="0" w:after="200"/>
        <w:ind w:left="787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Orientações sanitárias aos estabelecimentos de saúde referente as normas da VISA</w:t>
      </w:r>
    </w:p>
    <w:p>
      <w:pPr>
        <w:pStyle w:val="Corpodotexto"/>
        <w:numPr>
          <w:ilvl w:val="0"/>
          <w:numId w:val="16"/>
        </w:numPr>
        <w:spacing w:lineRule="auto" w:line="240" w:before="0" w:after="200"/>
        <w:ind w:left="787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Orientações ao público sobre os protocolos referentes da VISA, via telefone</w:t>
      </w:r>
    </w:p>
    <w:p>
      <w:pPr>
        <w:pStyle w:val="Corpodotexto"/>
        <w:numPr>
          <w:ilvl w:val="0"/>
          <w:numId w:val="16"/>
        </w:numPr>
        <w:spacing w:lineRule="auto" w:line="240" w:before="0" w:after="200"/>
        <w:ind w:left="787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Orientações aos estabelecimentos de comércio e produção de alimentos para orientações sanitárias;</w:t>
      </w:r>
    </w:p>
    <w:p>
      <w:pPr>
        <w:pStyle w:val="Corpodotexto"/>
        <w:widowControl/>
        <w:shd w:val="clear" w:fill="FFFFFF"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→ 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Cursos de capacitação online (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06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): em videoconferência com a SES/MG, sobre segurança do paciente, normas de estabelecimentos de interesse à saúde, oficina VIGIAGUA, Oficina VIGIMINAS, etc.</w:t>
      </w:r>
    </w:p>
    <w:p>
      <w:pPr>
        <w:pStyle w:val="Normal"/>
        <w:shd w:val="clear" w:fill="FFFFFF"/>
        <w:spacing w:lineRule="auto" w:line="24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hd w:val="clear" w:fill="FFFFFF"/>
        <w:spacing w:lineRule="auto" w:line="24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Corpodotexto"/>
        <w:shd w:val="clear" w:fill="FFFFFF"/>
        <w:spacing w:lineRule="auto" w:line="24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 xml:space="preserve">Ações administrativas e de fiscalização: </w:t>
      </w:r>
    </w:p>
    <w:p>
      <w:pPr>
        <w:pStyle w:val="Corpodotexto"/>
        <w:widowControl/>
        <w:numPr>
          <w:ilvl w:val="0"/>
          <w:numId w:val="17"/>
        </w:numPr>
        <w:shd w:val="clear" w:fill="FFFFFF"/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Elaboração de diagnóstico da Vigilância Sanitária e preenchimento de planilha fornecida pela SES/MG para participação do Plano Estadual de VIGILANCIA EM SAÚDE.</w:t>
      </w:r>
    </w:p>
    <w:p>
      <w:pPr>
        <w:pStyle w:val="Corpodotexto"/>
        <w:widowControl/>
        <w:numPr>
          <w:ilvl w:val="0"/>
          <w:numId w:val="17"/>
        </w:numPr>
        <w:shd w:val="clear" w:fill="FFFFFF"/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Análise e utilização do sistema para liberação dos alvarás sanitários via REDESIM.</w:t>
      </w:r>
    </w:p>
    <w:p>
      <w:pPr>
        <w:pStyle w:val="Corpodotexto"/>
        <w:widowControl/>
        <w:numPr>
          <w:ilvl w:val="0"/>
          <w:numId w:val="17"/>
        </w:numPr>
        <w:shd w:val="clear" w:fill="FFFFFF"/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Pareceres e declarações sanitárias expedidas: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04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Recebimento e análise de projetos arquitetônicos: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realizada a avaliação e análise de projetos arquitetônicos pela arquiteta do setor cujos estabelecimentos estão sujeitos às normas da vigilância sanitária, num total de 21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(vinte e um)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projetos neste quadrimestre.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color w:val="auto"/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→ 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2 palestras de orientações sanitárias – realizadas nos meses de agosto e novembro de 2023. Uma capacitação aos profissionais da rede SUS de odontologia e 01 palestra sobre normas de vigilância sanitária para bares e lanchonetes.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numPr>
          <w:ilvl w:val="0"/>
          <w:numId w:val="18"/>
        </w:numPr>
        <w:shd w:val="clear" w:fill="FFFFFF"/>
        <w:spacing w:lineRule="auto" w:line="240" w:before="0" w:after="0"/>
        <w:ind w:left="720" w:right="0" w:hanging="36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Utilização do sistema integrado com a JUCEMG para liberação de alvará sanitário online. (REDE SIM) aos estabelecimentos de baixo e médio risco sanitário.</w:t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>
          <w:color w:val="auto"/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→ 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Preenchimento pelos fiscais  de 156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formulários on-line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 de VIG RISCO após as inspeções sanitárias</w:t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>
          <w:color w:val="auto"/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→ 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Fiscalização de estabelecimentos noturnos: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72</w:t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72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AÇÕES EM DESTAQUE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1-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Atender e acolher as denúncias, reclamações e demandas relacionadas ao risco em Vigilância Sanitária do município:</w:t>
      </w:r>
    </w:p>
    <w:p>
      <w:pPr>
        <w:pStyle w:val="Corpodotexto"/>
        <w:widowControl/>
        <w:numPr>
          <w:ilvl w:val="0"/>
          <w:numId w:val="19"/>
        </w:numPr>
        <w:shd w:val="clear" w:fill="FFFFFF"/>
        <w:spacing w:lineRule="auto" w:line="240" w:before="0" w:after="0"/>
        <w:ind w:left="720" w:right="0" w:hanging="36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Recebimento e atendimento de 17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 denúncias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.</w:t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72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2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- Atender e acolher as denúncias, reclamações e demandas relacionadas ao risco em Vigilância Sanitárias oriundas do nível Central (Notificação da Gerência Colegiada DVA/DVMC) e das Resoluções Especificas da ANVISA (RE-ANVISA)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: 55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240" w:before="0" w:after="20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- Recebimento e atendimento de notificações DVA –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30</w:t>
      </w:r>
    </w:p>
    <w:p>
      <w:pPr>
        <w:pStyle w:val="Corpodotexto"/>
        <w:spacing w:lineRule="auto" w:line="240" w:before="0" w:after="20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- Recebimento e atendimento de notificações DVMC –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 xml:space="preserve"> 19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- Recebimento e atendimento as Resoluções Especificas/ANVISA –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6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3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- Alvarás Sanitários liberados e renovados em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134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estabelecimentos (saúde, higiene, alimentos); Realizadas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400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inspeções sanitárias em estabelecimentos no quadrimestre.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Perfazendo: </w:t>
      </w:r>
    </w:p>
    <w:p>
      <w:pPr>
        <w:pStyle w:val="Normal"/>
        <w:spacing w:lineRule="auto" w:line="240" w:before="0" w:after="20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color w:val="000000"/>
          <w:sz w:val="24"/>
          <w:szCs w:val="24"/>
          <w:shd w:fill="auto" w:val="clear"/>
        </w:rPr>
        <w:t>ÁREA DE ALIMENTOS – i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nspeção sanitária em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193,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estabelecimentos, e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35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 alvarás sanitários liberado e renovados.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ÁREA DE SAÚDE/HIGIENE –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Inspeção sanitária em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 207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estabelecimentos e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99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 alvarás sanitários liberados e renovados.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4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- 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single"/>
          <w:shd w:fill="auto" w:val="clear"/>
          <w:em w:val="none"/>
        </w:rPr>
        <w:t>Fiscalização Sanitária de Eventos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: realizadas atividades de atendimentos de denúncias de estabelecimentos noturnos e fiscalização de eventos nos finais de semana: 24 vistorias.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Aplicação de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 xml:space="preserve">8 </w:t>
      </w: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notificações aos estabelecimentos;</w:t>
      </w:r>
    </w:p>
    <w:p>
      <w:pPr>
        <w:pStyle w:val="Normal"/>
        <w:spacing w:lineRule="auto" w:line="240" w:before="0" w:after="20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Abertura de processo administrativo sanitário: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00</w:t>
      </w:r>
    </w:p>
    <w:p>
      <w:pPr>
        <w:pStyle w:val="Normal"/>
        <w:spacing w:lineRule="auto" w:line="240" w:before="0" w:after="20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30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5"/>
        <w:jc w:val="left"/>
        <w:rPr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ab/>
      </w: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</w:rPr>
        <w:t xml:space="preserve">3.4. </w:t>
      </w:r>
      <w:r>
        <w:rPr>
          <w:rFonts w:eastAsia="Bookman Old Style" w:cs="Calibri" w:ascii="Arial" w:hAnsi="Arial"/>
          <w:b/>
          <w:bCs/>
          <w:caps/>
          <w:color w:val="000000"/>
          <w:sz w:val="24"/>
          <w:szCs w:val="24"/>
          <w:shd w:fill="auto" w:val="clear"/>
        </w:rPr>
        <w:t>Vigilância Epidemiológica</w:t>
      </w:r>
    </w:p>
    <w:p>
      <w:pPr>
        <w:pStyle w:val="Normal"/>
        <w:spacing w:lineRule="auto" w:line="360" w:before="0" w:after="0"/>
        <w:rPr>
          <w:rFonts w:ascii="Arial" w:hAnsi="Arial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3.4.1. SISTEMA DE INFORMAÇÃO E SITUAÇÃO DE SAÚDE</w:t>
      </w:r>
    </w:p>
    <w:p>
      <w:pPr>
        <w:pStyle w:val="Corpodotexto"/>
        <w:numPr>
          <w:ilvl w:val="0"/>
          <w:numId w:val="12"/>
        </w:numPr>
        <w:spacing w:lineRule="auto" w:line="360" w:before="0" w:after="0"/>
        <w:ind w:left="720" w:right="0" w:hanging="36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MDDA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(Monitoramento das doenças diarreicas agudas):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3.609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casos notificados através das unidades sentinelas para o monitoramento.</w:t>
      </w:r>
    </w:p>
    <w:p>
      <w:pPr>
        <w:pStyle w:val="Corpodotexto"/>
        <w:numPr>
          <w:ilvl w:val="0"/>
          <w:numId w:val="12"/>
        </w:numPr>
        <w:spacing w:lineRule="auto" w:line="360" w:before="0" w:after="0"/>
        <w:ind w:left="720" w:right="0" w:hanging="36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RCBP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(Registro de Câncer de Base Populacional): Não houve coleta de dados, somente atualizações do sistema.</w:t>
      </w:r>
    </w:p>
    <w:p>
      <w:pPr>
        <w:pStyle w:val="Contedodatabela"/>
        <w:numPr>
          <w:ilvl w:val="0"/>
          <w:numId w:val="12"/>
        </w:numPr>
        <w:spacing w:lineRule="auto" w:line="360" w:before="0" w:after="0"/>
        <w:jc w:val="left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SINASC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(Sistema de Informação de Nascidos Vivos):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535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nascidos vivos residentes durante o período. </w:t>
      </w:r>
    </w:p>
    <w:p>
      <w:pPr>
        <w:pStyle w:val="Corpodotexto"/>
        <w:numPr>
          <w:ilvl w:val="0"/>
          <w:numId w:val="12"/>
        </w:numPr>
        <w:spacing w:lineRule="auto" w:line="360" w:before="0" w:after="0"/>
        <w:ind w:left="720" w:right="0" w:hanging="36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SIM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(Sistema de Mortalidade): Ocorreram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581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óbitos no município dos quais: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465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são residentes,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09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fetais,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01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infantil,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13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mulher em idade fértil,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83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com causa indeterminada. 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SINAN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 (Sistema de Informação de Agravo de Notificação):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 xml:space="preserve">971 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Agravos notificados e acompanhados por esta vigilância (OBS: dados sujeito à alteração) </w:t>
      </w:r>
      <w:r>
        <w:rPr>
          <w:rFonts w:ascii="Arial" w:hAnsi="Arial"/>
          <w:i/>
          <w:iCs/>
          <w:color w:val="000000"/>
          <w:sz w:val="24"/>
          <w:szCs w:val="24"/>
          <w:shd w:fill="auto" w:val="clear"/>
        </w:rPr>
        <w:t>Quadro das notificações em anexo: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IMUNIZAÇÃO: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Crie: Análise, registro e envio de Processo de solicitações de vacinas especiais (96 processos);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Notificações de Eventos Adversos;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358</w:t>
      </w: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 Notificações e Investigação de Acidentes Antirrábicos com Busca Ativa e notificações de Animais Peçonhentos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Rede de Frio: controle de estoque e distribuição de imunobiológicos para 22 salas de vacina;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Supervisão técnica da Superintendência Regional de Saúde de Pouso Alegre, nas salas de vacina do município e na rede de Frio com a finalidade de verificar o cumprimento das normas do PNI (Programa Nacional de Imunização) em relação aos aspectos como área física, qualidade de atendimento, qualidade técnica e profissional para o desenvolvimento das ações de imunização, conservação e transporte de imunobiológicos;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Em Novembro foram realizadas visitas nas creches e escolas municipais pelas equipes da AB para intensificar as ações da multivacinação, tendo como resultado 44 instituições visitadas, com 11.359 crianças e adolescentes matriculados, sendo 2.023 cartões avaliados e 348 crianças vacinadas.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Capacitações/reuniões: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2º Capacitação em Sala de Vacina (40 horas) para 16 servidores, Enfermeiros e Técnicos de Enfermagem da Atenção Básica do município de Poços de Caldas, realizada no Sala de Capacitação do DME e no salão norte da Urca de 8:00 às 17:00 horas.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Oficina de Microplanejamento de AVAQ´S (Atividades de vacinação de Alta Qualidade) realizada pela Superintendência Regional de Saúde de Pouso Alegre.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Webconferência sobre a Campanha de multivacinação e introdução do Microplanejamento de  AVAQ´S (Atividades de vacinação de Alta Qualidade).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Novembro Campanha de Multivacinação 2023 para Crianças e Adolescentes, Participação no Simpósio realizado no SAE/CTA de IST´s;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Em 08 de Novembro realizado na Secretária de Educação reunião com os diretores de Creches e Escolas para instruções sobre Ofício Circular SES/SUBVS no.4/2023 que trata do fomento às ações de promoção da saúde e prevenção de doenças imunopreveníveis nas escolas em Minas Gerais, 2023 e a parceria entre educação e saúde para melhorias das Coberturas Vacinais;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Reunião mensal do Comitê de Mortalidade Materno, Infantil e Fetal.</w:t>
      </w:r>
    </w:p>
    <w:p>
      <w:pPr>
        <w:pStyle w:val="Normal"/>
        <w:widowControl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3.5 . Vigilância em Saúde Ambiental</w:t>
      </w:r>
    </w:p>
    <w:p>
      <w:pPr>
        <w:pStyle w:val="Contedodatabela"/>
        <w:jc w:val="center"/>
        <w:rPr>
          <w:rFonts w:ascii="Calibri" w:hAnsi="Calibri"/>
          <w:b/>
          <w:b/>
          <w:bCs/>
          <w:color w:val="auto"/>
          <w:shd w:fill="auto" w:val="clear"/>
        </w:rPr>
      </w:pPr>
      <w:r>
        <w:rPr>
          <w:rFonts w:ascii="Calibri" w:hAnsi="Calibri"/>
          <w:b/>
          <w:bCs/>
          <w:color w:val="000000"/>
          <w:shd w:fill="auto" w:val="clear"/>
        </w:rPr>
        <w:t>AÇÃO REALIZADA</w:t>
      </w:r>
    </w:p>
    <w:p>
      <w:pPr>
        <w:pStyle w:val="Contedodatabela"/>
        <w:jc w:val="center"/>
        <w:rPr>
          <w:rFonts w:ascii="Calibri" w:hAnsi="Calibri"/>
          <w:b/>
          <w:b/>
          <w:bCs/>
          <w:color w:val="auto"/>
          <w:shd w:fill="auto" w:val="clear"/>
        </w:rPr>
      </w:pPr>
      <w:r>
        <w:rPr>
          <w:rFonts w:ascii="Calibri" w:hAnsi="Calibri"/>
          <w:b/>
          <w:bCs/>
          <w:color w:val="000000"/>
          <w:shd w:fill="auto" w:val="clear"/>
        </w:rPr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/>
          <w:color w:val="auto"/>
          <w:shd w:fill="auto" w:val="clear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111131 visitas domiciliares, divididas em 02 ciclos bimestrais, para eliminação de criadouros do mosquito Aedes aegypti, orientação aos moradores, e tratamento químico, quando necessário;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294 visitas realizadas em Pontos Estratégicos, imóveis onde há concentração de depósitos do tipo preferencial para a desova da fêmea do Aedes aegypti ou especialmente vulneráveis a introdução do setor.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7952 supervisões de campo de visitas domiciliares realizadas pelos Agentes de Combate às Endemias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205 visitas domiciliares de pesquisa vetorial especial para eliminação de criadouros do mosquito Aedes aegypi em localidades com casos suspeitos de dengue.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Programa Permanente de Controle Reprodutivo de Cães e Gatos: 1271 cirurgias de castração realizadas.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10 atividades de bloqueio de transmissão através de UBV portátil (fumacê) nas localidades com confirmação de casos de dengue e chickungunya.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Atividades de mobilização social e educação em saúde sobre combate às arboviroses nas escolas públicas do município.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141 amostras de águas analisados, pelo Programa Vigiágua, para os parâmetros, Cloro Residual Livre, turbidez, Fluoreto, Coliformes totais e E. Coli.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24.922 animais vacinados através da Campanha de Vacinação antirrábica de cães e gatos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7 capturas de morcegos pela Vigilância de Quirópteros para diagnóstico da presença do vírus da raiva;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32 visitas de atendimentos de busca ativa de escorpiões com captura de exemplares e orientações aos moradores.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11 atividades de coleta de carrapatos para diagnóstico da bactéria transmissora da febre maculosa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28 animais de grande porte recolhidos em vias públicas do município.</w:t>
      </w:r>
    </w:p>
    <w:p>
      <w:pPr>
        <w:pStyle w:val="Contedodatabela"/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eastAsia="Calibri" w:cs="Calibri"/>
          <w:b/>
          <w:b/>
          <w:bCs/>
          <w:color w:val="auto"/>
          <w:sz w:val="28"/>
          <w:szCs w:val="28"/>
          <w:shd w:fill="auto" w:val="clear"/>
          <w:lang w:eastAsia="en-US"/>
        </w:rPr>
      </w:pPr>
      <w:r>
        <w:rPr>
          <w:rFonts w:eastAsia="Calibri" w:cs="Calibri" w:ascii="Calibri" w:hAnsi="Calibri"/>
          <w:b/>
          <w:bCs/>
          <w:color w:val="000000"/>
          <w:sz w:val="28"/>
          <w:szCs w:val="28"/>
          <w:shd w:fill="auto" w:val="clear"/>
          <w:lang w:eastAsia="en-US"/>
        </w:rPr>
        <w:t>3.6. CENTRO DE REFERÊNCIA A SAÚDE DO TRABALHADOR/CEREST</w:t>
      </w:r>
    </w:p>
    <w:p>
      <w:pPr>
        <w:pStyle w:val="Contedodatabela"/>
        <w:pageBreakBefore w:val="false"/>
        <w:jc w:val="center"/>
        <w:rPr>
          <w:rFonts w:cs="Calibri"/>
          <w:b/>
          <w:b/>
          <w:bCs/>
          <w:color w:val="auto"/>
          <w:shd w:fill="auto" w:val="clear"/>
        </w:rPr>
      </w:pPr>
      <w:r>
        <w:rPr>
          <w:rFonts w:cs="Calibri"/>
          <w:b/>
          <w:bCs/>
          <w:color w:val="000000"/>
          <w:shd w:fill="auto" w:val="clear"/>
        </w:rPr>
        <w:t>AÇÃO REALIZADA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Termos de Inspeção  -  104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Autos de Infração  -  00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Autos de Imposição de Penalidade  - 0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Notificações SINAN  -  338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Investigações  -  140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Atendimento de denúncia  -  10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Empresas atendidas  no Cerest  -  60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Diligências  -  110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TAC / Denuncia MPT  -  10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Empresas novas cadastradas  -  10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Relatórios de Inspeção   -  15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 xml:space="preserve">Novos pacientes cadastrados  -   50 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 xml:space="preserve">Sessões de psicoterapia  - </w:t>
      </w:r>
      <w:r>
        <w:rPr>
          <w:rFonts w:cs="Calibri"/>
          <w:color w:val="000000"/>
          <w:shd w:fill="auto" w:val="clear"/>
        </w:rPr>
        <w:t>52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Consultas médicas - 117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Audiometria  tonal/vocal e Imitanciometro  - 0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Fisioterapia -  750 sessões</w:t>
      </w:r>
    </w:p>
    <w:p>
      <w:pPr>
        <w:pStyle w:val="Contedodatabela"/>
        <w:numPr>
          <w:ilvl w:val="0"/>
          <w:numId w:val="0"/>
        </w:numPr>
        <w:ind w:left="720" w:hanging="0"/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</w:r>
    </w:p>
    <w:p>
      <w:pPr>
        <w:pStyle w:val="Contedodatabela"/>
        <w:numPr>
          <w:ilvl w:val="0"/>
          <w:numId w:val="0"/>
        </w:numPr>
        <w:ind w:left="720" w:hanging="0"/>
        <w:jc w:val="center"/>
        <w:rPr>
          <w:rFonts w:cs="Calibri"/>
          <w:b/>
          <w:b/>
          <w:bCs/>
          <w:color w:val="auto"/>
          <w:shd w:fill="auto" w:val="clear"/>
        </w:rPr>
      </w:pPr>
      <w:r>
        <w:rPr>
          <w:rFonts w:cs="Calibri"/>
          <w:b/>
          <w:bCs/>
          <w:color w:val="000000"/>
          <w:shd w:fill="auto" w:val="clear"/>
        </w:rPr>
        <w:t>AÇÕES EM DESTAQUE</w:t>
      </w:r>
    </w:p>
    <w:p>
      <w:pPr>
        <w:pStyle w:val="Contedodatabela"/>
        <w:numPr>
          <w:ilvl w:val="0"/>
          <w:numId w:val="0"/>
        </w:numPr>
        <w:ind w:left="720" w:hanging="0"/>
        <w:jc w:val="center"/>
        <w:rPr>
          <w:rFonts w:cs="Calibri"/>
          <w:b/>
          <w:b/>
          <w:bCs/>
          <w:color w:val="auto"/>
          <w:shd w:fill="auto" w:val="clear"/>
        </w:rPr>
      </w:pPr>
      <w:r>
        <w:rPr>
          <w:rFonts w:cs="Calibri"/>
          <w:b/>
          <w:bCs/>
          <w:color w:val="000000"/>
          <w:shd w:fill="auto" w:val="clear"/>
        </w:rPr>
      </w:r>
    </w:p>
    <w:p>
      <w:pPr>
        <w:pStyle w:val="Contedodatabela"/>
        <w:numPr>
          <w:ilvl w:val="0"/>
          <w:numId w:val="22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 xml:space="preserve">Capacitação com fisioterapeutas sobre LER/DORT da rede pública e privada – </w:t>
      </w:r>
      <w:r>
        <w:rPr>
          <w:rFonts w:cs="Calibri"/>
          <w:b/>
          <w:bCs/>
          <w:color w:val="000000"/>
          <w:shd w:fill="auto" w:val="clear"/>
        </w:rPr>
        <w:t>02</w:t>
      </w:r>
    </w:p>
    <w:p>
      <w:pPr>
        <w:pStyle w:val="Contedodatabela"/>
        <w:numPr>
          <w:ilvl w:val="0"/>
          <w:numId w:val="22"/>
        </w:numPr>
        <w:rPr>
          <w:rFonts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/>
          <w:b w:val="false"/>
          <w:bCs w:val="false"/>
          <w:color w:val="000000"/>
          <w:shd w:fill="auto" w:val="clear"/>
        </w:rPr>
        <w:t>Capacitação com a rede hospitalar privada sobre as notificações do SINAN dos agravos e doenças relacionadas ao trabalho -</w:t>
      </w:r>
      <w:r>
        <w:rPr>
          <w:rFonts w:cs="Calibri"/>
          <w:b/>
          <w:bCs/>
          <w:color w:val="000000"/>
          <w:shd w:fill="auto" w:val="clear"/>
        </w:rPr>
        <w:t xml:space="preserve"> 01</w:t>
      </w:r>
    </w:p>
    <w:p>
      <w:pPr>
        <w:pStyle w:val="Contedodatabela"/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</w:r>
    </w:p>
    <w:p>
      <w:pPr>
        <w:pStyle w:val="Contedodatabela"/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</w:r>
    </w:p>
    <w:p>
      <w:pPr>
        <w:pStyle w:val="Contedodatabela"/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eastAsia="Calibri" w:cs="Calibri" w:ascii="Arial" w:hAnsi="Arial"/>
          <w:b/>
          <w:bCs/>
          <w:color w:val="000000"/>
          <w:sz w:val="24"/>
          <w:szCs w:val="24"/>
          <w:shd w:fill="auto" w:val="clear"/>
          <w:lang w:eastAsia="en-US"/>
        </w:rPr>
        <w:t xml:space="preserve">3.7. </w:t>
      </w:r>
      <w:r>
        <w:rPr>
          <w:rFonts w:eastAsia="Calibri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SAE/CTA – SERVIÇO DE ASSISTÊNCIA ESPECIALIZADA E CENTRO DE TESTAGEM E ACONSELHAMENTO</w:t>
      </w:r>
    </w:p>
    <w:tbl>
      <w:tblPr>
        <w:tblW w:w="10340" w:type="dxa"/>
        <w:jc w:val="left"/>
        <w:tblInd w:w="14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8"/>
        <w:gridCol w:w="7440"/>
        <w:gridCol w:w="2022"/>
      </w:tblGrid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99" w:right="266" w:hanging="0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Nº</w:t>
            </w:r>
          </w:p>
        </w:tc>
        <w:tc>
          <w:tcPr>
            <w:tcW w:w="94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3722" w:right="3694" w:hanging="0"/>
              <w:rPr>
                <w:color w:val="auto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AÇÃO</w:t>
            </w:r>
            <w:r>
              <w:rPr>
                <w:b/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b/>
                <w:color w:val="000000"/>
                <w:sz w:val="22"/>
                <w:shd w:fill="auto" w:val="clear"/>
              </w:rPr>
              <w:t>REALIZADA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01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Consultas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realizadas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pelo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Infectologista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336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02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Consultas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realizadas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pela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Nutricionista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26</w:t>
            </w:r>
          </w:p>
        </w:tc>
      </w:tr>
      <w:tr>
        <w:trPr>
          <w:trHeight w:val="689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03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Orientações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Pré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Pós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testagens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rápidas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(Centro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Testagem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</w:t>
            </w:r>
            <w:r>
              <w:rPr>
                <w:color w:val="000000"/>
                <w:spacing w:val="-5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Aconselhamento)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232</w:t>
            </w:r>
          </w:p>
        </w:tc>
      </w:tr>
      <w:tr>
        <w:trPr>
          <w:trHeight w:val="449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04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realizados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pela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profissional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Serviço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Social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05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pela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profissional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Psicologia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36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06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pré-consulta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profissionais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Enfermagem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07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Busca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ativa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pacientes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abandono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tratamento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8" w:right="0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08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hemovigilância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(Encaminhados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pelo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banco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sangue)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0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 xml:space="preserve">          </w:t>
            </w:r>
            <w:r>
              <w:rPr>
                <w:b/>
                <w:color w:val="000000"/>
                <w:sz w:val="22"/>
                <w:shd w:fill="auto" w:val="clear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09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em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acidentes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ocupacionais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12</w:t>
            </w:r>
          </w:p>
        </w:tc>
      </w:tr>
      <w:tr>
        <w:trPr>
          <w:trHeight w:val="69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10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Profilaxia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Pós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Exposição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(PEP)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-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Relação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Sexual</w:t>
            </w:r>
            <w:r>
              <w:rPr>
                <w:color w:val="000000"/>
                <w:spacing w:val="-5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Consentida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22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11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vítimas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violência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sexual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12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Profilaxia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Pré-exposição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(PREP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para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HIV)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112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13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Coletas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sangue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realizadas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pelo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laboratório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6250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14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Aplicações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parenterais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(IM)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117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15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Notificações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HIV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(início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tratamento)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16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Notificações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Hepatite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C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(início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tratamento)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8" w:right="0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17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Notificações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sífilis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adquirida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28" w:right="0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32</w:t>
            </w:r>
          </w:p>
        </w:tc>
      </w:tr>
      <w:tr>
        <w:trPr>
          <w:trHeight w:val="43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18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Notificações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sífilis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gestante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28" w:right="0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19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Assistência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farmacêutica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691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20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Preservativos</w:t>
            </w:r>
            <w:r>
              <w:rPr>
                <w:color w:val="000000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distribuídos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71712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21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Preservativos</w:t>
            </w:r>
            <w:r>
              <w:rPr>
                <w:color w:val="000000"/>
                <w:spacing w:val="-11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femininos</w:t>
            </w:r>
            <w:r>
              <w:rPr>
                <w:color w:val="000000"/>
                <w:spacing w:val="-11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distribuídos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22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Gel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lubrificante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distribuídos</w:t>
            </w:r>
          </w:p>
        </w:tc>
        <w:tc>
          <w:tcPr>
            <w:tcW w:w="2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2200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left="720" w:hanging="0"/>
        <w:jc w:val="center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center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center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AÇÕES EM DESTAQUE</w:t>
      </w:r>
    </w:p>
    <w:p>
      <w:pPr>
        <w:pStyle w:val="Normal"/>
        <w:spacing w:lineRule="auto" w:line="360"/>
        <w:jc w:val="center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360" w:before="0" w:after="0"/>
        <w:ind w:left="1213" w:right="476" w:hanging="36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Disponibilização de preservativos masculinos e femininos e gel lubrificante na recepção do</w:t>
      </w:r>
      <w:r>
        <w:rPr>
          <w:rFonts w:ascii="Arial" w:hAnsi="Arial"/>
          <w:color w:val="000000"/>
          <w:spacing w:val="-59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serviço;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0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Divulgação</w:t>
      </w:r>
      <w:r>
        <w:rPr>
          <w:rFonts w:ascii="Arial" w:hAnsi="Arial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panfletos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sobre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ISTs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na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recepção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do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serviço;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0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Ações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internas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combate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ao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abandono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tratamento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(monitoramento);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7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Ações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Prevenção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às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infecções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sexualmente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transmissíveis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junto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ao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consultório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rua;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7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Ações de Prevenção às ISTs em Empresas – Outubro Verde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7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Ações de Prevenção às ISTs em Empresas – Sipat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361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Distribuição</w:t>
      </w:r>
      <w:r>
        <w:rPr>
          <w:rFonts w:cs="Calibri" w:ascii="Arial" w:hAnsi="Arial"/>
          <w:b w:val="false"/>
          <w:bCs w:val="false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de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preservativos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para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profissionais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do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sexo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361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Simpósio sobre Ists – Outubro Verde;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361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Dezembro Vermelho – Campanha de conscientização à prevenção do HIV/AIDS;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361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Divulgação e ampliação da oferta de PREP e PEP.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14" w:leader="none"/>
        </w:tabs>
        <w:spacing w:lineRule="auto" w:line="240" w:before="127" w:after="0"/>
        <w:ind w:left="1214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ListParagraph"/>
        <w:tabs>
          <w:tab w:val="clear" w:pos="720"/>
          <w:tab w:val="left" w:pos="1214" w:leader="none"/>
        </w:tabs>
        <w:spacing w:lineRule="auto" w:line="360" w:before="126" w:after="0"/>
        <w:ind w:left="853" w:right="467" w:hanging="0"/>
        <w:jc w:val="both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  <w:lang w:val="pt-BR"/>
        </w:rPr>
        <w:t>3.8. REDE DE ATENÇÃO PSICOSSOCIAL</w:t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3.8.1. REDE DE ATENÇÃO PSICOSSOCIAL –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CAPS II e CAPS AD, UA, Serviço de Saúde Mental Infanto Juvenil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  <w:t>AÇÃO REALIZADA</w:t>
      </w:r>
    </w:p>
    <w:p>
      <w:pPr>
        <w:pStyle w:val="Contedodatabela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Acolhimento Diurno: 349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Atendimento Individual: 1833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Atendimento em grupo: 1313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Atendimento familiar: 240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Atendimento Domiciliar: 101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Práticas Corporais: 48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Práticas Expressivas e Corporativas: 462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Ações de Reabilitação: 07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Promoção de Contratualidade no Território: 86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Atenção às situações de crise: 11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Matriciamento: 21</w:t>
      </w:r>
    </w:p>
    <w:p>
      <w:pPr>
        <w:pStyle w:val="Normal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tedodatabela"/>
        <w:jc w:val="center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  <w:t xml:space="preserve">AÇÃO EM DESTAQUE </w:t>
      </w:r>
    </w:p>
    <w:p>
      <w:pPr>
        <w:pStyle w:val="Contedodatabela"/>
        <w:jc w:val="left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</w:r>
    </w:p>
    <w:p>
      <w:pPr>
        <w:pStyle w:val="Contedodatabela"/>
        <w:numPr>
          <w:ilvl w:val="0"/>
          <w:numId w:val="24"/>
        </w:numPr>
        <w:rPr>
          <w:rFonts w:ascii="Arial" w:hAnsi="Arial"/>
          <w:b w:val="false"/>
          <w:b w:val="false"/>
          <w:bCs w:val="false"/>
          <w:color w:val="auto"/>
          <w:shd w:fill="auto" w:val="clear"/>
        </w:rPr>
      </w:pPr>
      <w:r>
        <w:rPr>
          <w:rFonts w:ascii="Arial" w:hAnsi="Arial"/>
          <w:b w:val="false"/>
          <w:bCs w:val="false"/>
          <w:color w:val="000000"/>
          <w:shd w:fill="auto" w:val="clear"/>
        </w:rPr>
        <w:t>Ações de promoção à Saúde Mental relativas ao Setembro Amarelo - Rodas de Conversa junto a abrigos, escolas ESF’s e UEMG.</w:t>
      </w:r>
    </w:p>
    <w:p>
      <w:pPr>
        <w:pStyle w:val="Contedodatabela"/>
        <w:numPr>
          <w:ilvl w:val="0"/>
          <w:numId w:val="24"/>
        </w:numPr>
        <w:rPr>
          <w:rFonts w:ascii="Arial" w:hAnsi="Arial"/>
          <w:b w:val="false"/>
          <w:b w:val="false"/>
          <w:bCs w:val="false"/>
          <w:color w:val="auto"/>
          <w:shd w:fill="auto" w:val="clear"/>
        </w:rPr>
      </w:pPr>
      <w:r>
        <w:rPr>
          <w:rFonts w:ascii="Arial" w:hAnsi="Arial"/>
          <w:b w:val="false"/>
          <w:bCs w:val="false"/>
          <w:color w:val="000000"/>
          <w:shd w:fill="auto" w:val="clear"/>
        </w:rPr>
        <w:t>Passeio comemorativo ao  Dia Mundial da Saúde Mental - Confraternização com o CAPS I de Andradas.</w:t>
      </w:r>
    </w:p>
    <w:p>
      <w:pPr>
        <w:pStyle w:val="Contedodatabela"/>
        <w:numPr>
          <w:ilvl w:val="0"/>
          <w:numId w:val="24"/>
        </w:numPr>
        <w:rPr>
          <w:rFonts w:ascii="Arial" w:hAnsi="Arial"/>
          <w:b w:val="false"/>
          <w:b w:val="false"/>
          <w:bCs w:val="false"/>
          <w:color w:val="auto"/>
          <w:shd w:fill="auto" w:val="clear"/>
        </w:rPr>
      </w:pPr>
      <w:r>
        <w:rPr>
          <w:rFonts w:ascii="Arial" w:hAnsi="Arial"/>
          <w:b w:val="false"/>
          <w:bCs w:val="false"/>
          <w:color w:val="000000"/>
          <w:shd w:fill="auto" w:val="clear"/>
        </w:rPr>
        <w:t>Participação de representantes na Conferência Nacional de Saúde Mental - Brasília (Dezembro, 2023).</w:t>
      </w:r>
    </w:p>
    <w:p>
      <w:pPr>
        <w:pStyle w:val="Normal"/>
        <w:spacing w:lineRule="auto" w:line="360" w:before="0" w:after="0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</w:r>
    </w:p>
    <w:p>
      <w:pPr>
        <w:pStyle w:val="Contedodatabela"/>
        <w:spacing w:lineRule="auto" w:line="360" w:before="0" w:after="0"/>
        <w:jc w:val="both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3.9.  POLICLÍNICA CENTRAL</w:t>
      </w:r>
    </w:p>
    <w:p>
      <w:pPr>
        <w:pStyle w:val="Contedodatabela"/>
        <w:spacing w:lineRule="auto" w:line="360" w:before="0" w:after="0"/>
        <w:jc w:val="center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AÇÃO REALIZADA</w:t>
      </w:r>
    </w:p>
    <w:p>
      <w:pPr>
        <w:pStyle w:val="Normal"/>
        <w:numPr>
          <w:ilvl w:val="0"/>
          <w:numId w:val="25"/>
        </w:numPr>
        <w:spacing w:lineRule="auto" w:line="360"/>
        <w:jc w:val="both"/>
        <w:rPr>
          <w:rFonts w:ascii="Arial" w:hAnsi="Arial"/>
          <w:shd w:fill="auto" w:val="clear"/>
        </w:rPr>
      </w:pPr>
      <w:r>
        <w:rPr>
          <w:rFonts w:ascii="Arial" w:hAnsi="Arial"/>
          <w:color w:val="000000"/>
          <w:sz w:val="24"/>
          <w:shd w:fill="auto" w:val="clear"/>
        </w:rPr>
        <w:t xml:space="preserve">Realização de mutirão de consultas de especialidades com aproximadamente 12 mil </w:t>
      </w:r>
      <w:r>
        <w:rPr>
          <w:rFonts w:ascii="Arial" w:hAnsi="Arial"/>
          <w:sz w:val="24"/>
          <w:shd w:fill="auto" w:val="clear"/>
        </w:rPr>
        <w:t>atendimentos realizados.</w:t>
      </w:r>
    </w:p>
    <w:p>
      <w:pPr>
        <w:pStyle w:val="Normal"/>
        <w:numPr>
          <w:ilvl w:val="0"/>
          <w:numId w:val="25"/>
        </w:numPr>
        <w:spacing w:lineRule="auto" w:line="360"/>
        <w:jc w:val="left"/>
        <w:rPr>
          <w:rFonts w:ascii="Arial" w:hAnsi="Arial"/>
          <w:sz w:val="24"/>
          <w:shd w:fill="auto" w:val="clear"/>
        </w:rPr>
      </w:pPr>
      <w:r>
        <w:rPr>
          <w:rFonts w:ascii="Arial" w:hAnsi="Arial"/>
          <w:sz w:val="24"/>
          <w:shd w:fill="auto" w:val="clear"/>
        </w:rPr>
        <w:t>Reforma do piso da farmácia central</w:t>
      </w:r>
    </w:p>
    <w:p>
      <w:pPr>
        <w:pStyle w:val="Normal"/>
        <w:numPr>
          <w:ilvl w:val="0"/>
          <w:numId w:val="25"/>
        </w:numPr>
        <w:spacing w:lineRule="auto" w:line="360"/>
        <w:jc w:val="left"/>
        <w:rPr>
          <w:rFonts w:ascii="Arial" w:hAnsi="Arial"/>
          <w:sz w:val="24"/>
          <w:shd w:fill="auto" w:val="clear"/>
        </w:rPr>
      </w:pPr>
      <w:r>
        <w:rPr>
          <w:rFonts w:ascii="Arial" w:hAnsi="Arial"/>
          <w:sz w:val="24"/>
          <w:shd w:fill="auto" w:val="clear"/>
        </w:rPr>
        <w:t>Realização de 4.324 testes de covid-19 com suporte médico para consulta.</w:t>
      </w:r>
    </w:p>
    <w:p>
      <w:pPr>
        <w:pStyle w:val="Normal"/>
        <w:numPr>
          <w:ilvl w:val="0"/>
          <w:numId w:val="25"/>
        </w:numPr>
        <w:spacing w:lineRule="auto" w:line="360"/>
        <w:jc w:val="left"/>
        <w:rPr>
          <w:rFonts w:ascii="Arial" w:hAnsi="Arial"/>
          <w:sz w:val="24"/>
          <w:shd w:fill="auto" w:val="clear"/>
        </w:rPr>
      </w:pPr>
      <w:r>
        <w:rPr>
          <w:rFonts w:ascii="Arial" w:hAnsi="Arial"/>
          <w:sz w:val="24"/>
          <w:shd w:fill="auto" w:val="clear"/>
        </w:rPr>
        <w:t>Instalação de internet sem fio no primeiro andar para auxílio operacional.</w:t>
      </w:r>
    </w:p>
    <w:p>
      <w:pPr>
        <w:pStyle w:val="Normal"/>
        <w:numPr>
          <w:ilvl w:val="0"/>
          <w:numId w:val="25"/>
        </w:numPr>
        <w:spacing w:lineRule="auto" w:line="360"/>
        <w:jc w:val="both"/>
        <w:rPr>
          <w:rFonts w:ascii="Arial" w:hAnsi="Arial"/>
          <w:color w:val="auto"/>
          <w:sz w:val="24"/>
          <w:shd w:fill="auto" w:val="clear"/>
        </w:rPr>
      </w:pPr>
      <w:r>
        <w:rPr>
          <w:rFonts w:ascii="Arial" w:hAnsi="Arial"/>
          <w:color w:val="000000"/>
          <w:sz w:val="24"/>
          <w:shd w:fill="auto" w:val="clear"/>
        </w:rPr>
        <w:t>Troca do sistema de iluminação dos corredores internos da Policlínica Central por led.</w:t>
      </w:r>
    </w:p>
    <w:p>
      <w:pPr>
        <w:pStyle w:val="Normal"/>
        <w:spacing w:lineRule="auto" w:line="360"/>
        <w:jc w:val="both"/>
        <w:rPr>
          <w:rFonts w:ascii="Arial" w:hAnsi="Arial"/>
          <w:color w:val="auto"/>
          <w:sz w:val="24"/>
          <w:shd w:fill="auto" w:val="clear"/>
        </w:rPr>
      </w:pPr>
      <w:r>
        <w:rPr>
          <w:rFonts w:ascii="Arial" w:hAnsi="Arial"/>
          <w:color w:val="000000"/>
          <w:sz w:val="24"/>
          <w:shd w:fill="auto" w:val="clear"/>
        </w:rPr>
      </w:r>
    </w:p>
    <w:p>
      <w:pPr>
        <w:pStyle w:val="TableParagraph"/>
        <w:widowControl w:val="false"/>
        <w:numPr>
          <w:ilvl w:val="0"/>
          <w:numId w:val="0"/>
        </w:numPr>
        <w:spacing w:lineRule="auto" w:line="235" w:before="27" w:after="0"/>
        <w:ind w:left="3411" w:right="3389" w:hanging="0"/>
        <w:jc w:val="both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AÇÕES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6"/>
          <w:kern w:val="2"/>
          <w:sz w:val="24"/>
          <w:szCs w:val="24"/>
          <w:u w:val="none"/>
          <w:shd w:fill="auto" w:val="clear"/>
          <w:em w:val="none"/>
        </w:rPr>
        <w:t xml:space="preserve"> 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EM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6"/>
          <w:kern w:val="2"/>
          <w:sz w:val="24"/>
          <w:szCs w:val="24"/>
          <w:u w:val="none"/>
          <w:shd w:fill="auto" w:val="clear"/>
          <w:em w:val="none"/>
        </w:rPr>
        <w:t xml:space="preserve"> 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DESTAQUE</w:t>
      </w:r>
    </w:p>
    <w:p>
      <w:pPr>
        <w:pStyle w:val="Normal"/>
        <w:spacing w:lineRule="auto" w:line="360"/>
        <w:jc w:val="both"/>
        <w:rPr>
          <w:rFonts w:ascii="Arial" w:hAnsi="Arial"/>
          <w:color w:val="auto"/>
          <w:sz w:val="24"/>
          <w:shd w:fill="auto" w:val="clear"/>
        </w:rPr>
      </w:pPr>
      <w:r>
        <w:rPr>
          <w:rFonts w:ascii="Arial" w:hAnsi="Arial"/>
          <w:color w:val="000000"/>
          <w:sz w:val="24"/>
          <w:shd w:fill="auto" w:val="clear"/>
        </w:rPr>
      </w:r>
    </w:p>
    <w:p>
      <w:pPr>
        <w:pStyle w:val="Normal"/>
        <w:numPr>
          <w:ilvl w:val="0"/>
          <w:numId w:val="25"/>
        </w:numPr>
        <w:spacing w:lineRule="auto" w:line="36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  <w:t>Realização de 4324 testes de covid-19 com suporte médico para consulta.</w:t>
      </w:r>
    </w:p>
    <w:p>
      <w:pPr>
        <w:pStyle w:val="Normal"/>
        <w:numPr>
          <w:ilvl w:val="0"/>
          <w:numId w:val="25"/>
        </w:numPr>
        <w:spacing w:lineRule="auto" w:line="36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  <w:t>Realização de mutirão de consultas de especialidades com aproximadamente 12 mil atendimentos realizados.</w:t>
      </w:r>
    </w:p>
    <w:p>
      <w:pPr>
        <w:pStyle w:val="Contedodatabela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Contedodatabela"/>
        <w:numPr>
          <w:ilvl w:val="0"/>
          <w:numId w:val="0"/>
        </w:numPr>
        <w:ind w:left="72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Contedodatabela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  <w:t>3.9.1 POLICLÍNICA SUL</w:t>
      </w:r>
    </w:p>
    <w:p>
      <w:pPr>
        <w:pStyle w:val="Contedodatabela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Contedodatabela"/>
        <w:spacing w:lineRule="auto" w:line="360" w:before="0" w:after="0"/>
        <w:jc w:val="center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AÇÃO REALIZADA</w:t>
      </w:r>
    </w:p>
    <w:p>
      <w:pPr>
        <w:pStyle w:val="Contedodatabela"/>
        <w:spacing w:lineRule="auto" w:line="360" w:before="0" w:after="0"/>
        <w:jc w:val="left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Outubro Rosa;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Novembro Azul;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Dezembro Vermelho;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Consultoria em amamentação e laserterapia;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Mutirão de otorrinolaringologia;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Reforma e pintura da unidade;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Aquisição de impressora nos consultórios;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Prontuário eletrônico;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Estágio da residência pediátrica;</w:t>
      </w:r>
    </w:p>
    <w:p>
      <w:pPr>
        <w:pStyle w:val="Contedodatabela"/>
        <w:numPr>
          <w:ilvl w:val="0"/>
          <w:numId w:val="0"/>
        </w:numPr>
        <w:spacing w:lineRule="auto" w:line="360" w:before="0" w:after="0"/>
        <w:ind w:left="720" w:hanging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TableParagraph"/>
        <w:widowControl w:val="false"/>
        <w:numPr>
          <w:ilvl w:val="0"/>
          <w:numId w:val="0"/>
        </w:numPr>
        <w:spacing w:lineRule="auto" w:line="235" w:before="27" w:after="0"/>
        <w:ind w:left="3411" w:right="3389" w:hanging="0"/>
        <w:jc w:val="both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AÇÕES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6"/>
          <w:kern w:val="2"/>
          <w:sz w:val="24"/>
          <w:szCs w:val="24"/>
          <w:u w:val="none"/>
          <w:shd w:fill="auto" w:val="clear"/>
          <w:em w:val="none"/>
        </w:rPr>
        <w:t xml:space="preserve"> 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EM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6"/>
          <w:kern w:val="2"/>
          <w:sz w:val="24"/>
          <w:szCs w:val="24"/>
          <w:u w:val="none"/>
          <w:shd w:fill="auto" w:val="clear"/>
          <w:em w:val="none"/>
        </w:rPr>
        <w:t xml:space="preserve"> 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DESTAQUE</w:t>
      </w:r>
    </w:p>
    <w:p>
      <w:pPr>
        <w:pStyle w:val="TableParagraph"/>
        <w:widowControl w:val="false"/>
        <w:spacing w:lineRule="auto" w:line="235" w:before="27" w:after="0"/>
        <w:ind w:left="0" w:right="3389" w:hanging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TableParagraph"/>
        <w:widowControl w:val="false"/>
        <w:numPr>
          <w:ilvl w:val="0"/>
          <w:numId w:val="26"/>
        </w:numPr>
        <w:spacing w:lineRule="auto" w:line="235" w:before="27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Laserterapia pós parto</w:t>
      </w:r>
    </w:p>
    <w:p>
      <w:pPr>
        <w:pStyle w:val="TableParagraph"/>
        <w:widowControl w:val="false"/>
        <w:numPr>
          <w:ilvl w:val="0"/>
          <w:numId w:val="26"/>
        </w:numPr>
        <w:spacing w:lineRule="auto" w:line="235" w:before="27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Prontuário eletrônico</w:t>
      </w:r>
    </w:p>
    <w:p>
      <w:pPr>
        <w:pStyle w:val="TableParagraph"/>
        <w:widowControl w:val="false"/>
        <w:spacing w:lineRule="auto" w:line="235" w:before="27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ntedodatabela"/>
        <w:widowControl w:val="false"/>
        <w:numPr>
          <w:ilvl w:val="0"/>
          <w:numId w:val="0"/>
        </w:numPr>
        <w:suppressLineNumbers/>
        <w:tabs>
          <w:tab w:val="clear" w:pos="720"/>
          <w:tab w:val="left" w:pos="345" w:leader="none"/>
        </w:tabs>
        <w:suppressAutoHyphens w:val="true"/>
        <w:overflowPunct w:val="false"/>
        <w:bidi w:val="0"/>
        <w:spacing w:lineRule="auto" w:line="360" w:before="0" w:after="0"/>
        <w:ind w:left="735" w:hanging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ab/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3.10. REDE DE URGÊNCIA E EMERGÊNCIA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3.10.1. UPA (Unidade de Pronto Atendimento)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Inauguração do Pronto Atendimento Infantil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Troca do aparelho de raio X e instalação do CR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Raio X passa a funcionar 24 horas em sistema de demanda espontânea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da reforma para adequação da planta para a UPA II ampliada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Implantação do serviço de Posso Ajudar, através do convênio com a Santa Casa de salto de Pirapora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da implantação do sistema de prontuário eletrônico no pronto atendimento infantil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aparelho de gasometria portátil para a sala de urgência, em sistema de comodato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Kits para realização do exame de troponina qualitativa na sala de urgência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Manutenção da Rede Elétrica e Hidráulica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Educação continuada com os servidores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Continuidade do estágio curricular de Enfermagem (Anhanguera, Polivalente, Senac)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Continuidade do estágio curricular de Nutrição da Anhanguera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Continuidade do estágio curricular de Odontologia da Anhanguera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Continuidade do estágio curricular de Medicina da Puc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do estágio de Psicologia da Anhanguera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Disponibilização de aparelho de ultrassom para a sala de urgência, em sistema de comodato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quatro impressoras multifuncionais, em sistema de comodato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uma impressora colorida, em sistema de doação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Scanners venosos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Adequação da prestação do serviço de laboratório para envio de 100% das amostras para o BIOLAB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Disponibilização de uma moto exclusiva para o HMMM das 8 às 17 horas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Troca de todos os extintores de incêndio para o tipo ABC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Instalação de computadores em todos os consultórios médicos</w:t>
      </w:r>
    </w:p>
    <w:p>
      <w:pPr>
        <w:pStyle w:val="TableParagraph"/>
        <w:widowControl w:val="false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numPr>
          <w:ilvl w:val="0"/>
          <w:numId w:val="0"/>
        </w:numPr>
        <w:spacing w:lineRule="auto" w:line="235" w:before="27" w:after="0"/>
        <w:ind w:left="3411" w:right="3389" w:hanging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b/>
          <w:bCs/>
          <w:color w:val="000000"/>
          <w:sz w:val="24"/>
          <w:shd w:fill="auto" w:val="clear"/>
        </w:rPr>
        <w:t>AÇÕES</w:t>
      </w:r>
      <w:r>
        <w:rPr>
          <w:b/>
          <w:bCs/>
          <w:color w:val="000000"/>
          <w:spacing w:val="-6"/>
          <w:sz w:val="24"/>
          <w:shd w:fill="auto" w:val="clear"/>
        </w:rPr>
        <w:t xml:space="preserve"> </w:t>
      </w:r>
      <w:r>
        <w:rPr>
          <w:b/>
          <w:bCs/>
          <w:color w:val="000000"/>
          <w:sz w:val="24"/>
          <w:shd w:fill="auto" w:val="clear"/>
        </w:rPr>
        <w:t>EM</w:t>
      </w:r>
      <w:r>
        <w:rPr>
          <w:b/>
          <w:bCs/>
          <w:color w:val="000000"/>
          <w:spacing w:val="-6"/>
          <w:sz w:val="24"/>
          <w:shd w:fill="auto" w:val="clear"/>
        </w:rPr>
        <w:t xml:space="preserve"> </w:t>
      </w:r>
      <w:r>
        <w:rPr>
          <w:b/>
          <w:bCs/>
          <w:color w:val="000000"/>
          <w:sz w:val="24"/>
          <w:shd w:fill="auto" w:val="clear"/>
        </w:rPr>
        <w:t>DESTAQUE</w:t>
      </w:r>
    </w:p>
    <w:p>
      <w:pPr>
        <w:pStyle w:val="TableParagraph"/>
        <w:widowControl w:val="false"/>
        <w:spacing w:lineRule="auto" w:line="235" w:before="27" w:after="0"/>
        <w:ind w:left="3411" w:right="3389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spacing w:lineRule="auto" w:line="235" w:before="27" w:after="0"/>
        <w:ind w:left="3411" w:right="3389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suppressAutoHyphens w:val="true"/>
        <w:overflowPunct w:val="false"/>
        <w:bidi w:val="0"/>
        <w:spacing w:lineRule="exact" w:line="271" w:before="10" w:after="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Inauguração do Pronto Atendimento Infantil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Troca do aparelho de raio X e instalação do CR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Raio X passa a funcionar 24 horas em sistema de demanda espontânea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da reforma para adequação da planta para UPA II ampliada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Implantação do serviço de Posso Ajudar, através do convênio com a Santa Casa de Salto de Pirapora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da implantação do sistema de prontuário eletrônico no Pronto Atendimento Infantil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aparelho de gasometria portátil para a sala de urgência, em sistema de comodato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kits para a realização de Troponina qualitativa na sala de urgência</w:t>
      </w:r>
    </w:p>
    <w:p>
      <w:pPr>
        <w:pStyle w:val="TableParagraph"/>
        <w:widowControl w:val="false"/>
        <w:spacing w:lineRule="auto" w:line="235" w:before="15" w:after="0"/>
        <w:ind w:left="59" w:right="747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TableParagraph"/>
        <w:widowControl w:val="false"/>
        <w:spacing w:lineRule="auto" w:line="235" w:before="15" w:after="0"/>
        <w:ind w:left="59" w:right="747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3.10.2. HOSPITAL MUNICIPAL MARGARITA MORALES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AÇÃO REALIZADA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Continuação da reforma para adequação da planta para Upa II ampliada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Início da implantação do sistema de prontuário eletrônico no pronto atendimento adulto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Realização de curso de brigadista com servidores do HMMM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Manutenção da rede elétrica e hidráulica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Educação continuada com os servidores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Continuidade do Estágio Curricular de Enfermagem (Anhanguera, Polivalente, SENAC)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Continuidade do Estágio Curricular de Nutrição da Anhanguera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Continuidade do Estágio Curricular de Medicina da PUC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Continuidade do Estágio de Psicologia da Anhanguera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Disponibilização de uma farmacêutica para o HMMM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Complemento de recursos humanos de auxiliares de enfermagem através do convênio com a Santa Casa de Salto de Pirapora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Instalação de sistema de Prontuário eletrônico em todos os consultórios médicos do pronto atendimento infantil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Troca do Aparelho de Raio X fixo e móvel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Troca do Aparelho de Ultrassom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Raio X passa a fornecer QR Code e link com senha para acesso do paciente aos exames realizados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Implantação de eletrocardiograma com assessoria online 24h através do programa do Instituto HCOR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Disponibilização de uma ambulância exclusiva para realizar demandas do hospital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Instalação de dois diluidores de desinfetante hospitalar nos DMLS do hospital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Troca de Ar condicionado e geladeira através do programa de redução de consumo de energia elétrica do DME</w:t>
      </w:r>
    </w:p>
    <w:p>
      <w:pPr>
        <w:pStyle w:val="Normal"/>
        <w:widowControl w:val="false"/>
        <w:numPr>
          <w:ilvl w:val="0"/>
          <w:numId w:val="0"/>
        </w:numPr>
        <w:suppressLineNumbers/>
        <w:suppressAutoHyphens w:val="true"/>
        <w:overflowPunct w:val="false"/>
        <w:bidi w:val="0"/>
        <w:snapToGrid w:val="false"/>
        <w:ind w:left="57" w:right="0" w:hanging="0"/>
        <w:rPr>
          <w:rFonts w:ascii="Calibri" w:hAnsi="Calibri" w:cs="Calibri"/>
          <w:color w:val="auto"/>
          <w:sz w:val="23"/>
          <w:szCs w:val="23"/>
          <w:shd w:fill="auto" w:val="clear"/>
        </w:rPr>
      </w:pPr>
      <w:r>
        <w:rPr>
          <w:rFonts w:cs="Calibri" w:ascii="Calibri" w:hAnsi="Calibri"/>
          <w:color w:val="000000"/>
          <w:sz w:val="23"/>
          <w:szCs w:val="23"/>
          <w:shd w:fill="auto" w:val="clear"/>
        </w:rPr>
      </w:r>
    </w:p>
    <w:p>
      <w:pPr>
        <w:pStyle w:val="Contedodatabela"/>
        <w:jc w:val="center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  <w:t>AÇÕES EM DESTAQUE</w:t>
      </w:r>
    </w:p>
    <w:p>
      <w:pPr>
        <w:pStyle w:val="Contedodatabela"/>
        <w:jc w:val="center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Disponibilização de uma farmacêutica para o HMMM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Instalação de sistema de Prontuário eletrônico em todos os consultórios médicos do pronto atendimento infantil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Complemento de recursos humanos de auxiliares de enfermagem através do convênio com a Santa Casa de Salto de Pirapora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Troca do Aparelho de Raio X fixo e móvel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Troca do Aparelho de Ultrassom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Raio X passa a fornecer QR Code e link com senha para acesso do paciente aos exames realizados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Implantação de eletrocardiograma com assessoria online 24h através do programa do Instituto HCOR</w:t>
      </w:r>
    </w:p>
    <w:p>
      <w:pPr>
        <w:pStyle w:val="Contedodatabela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</w:r>
    </w:p>
    <w:p>
      <w:pPr>
        <w:pStyle w:val="Contedodatabela"/>
        <w:widowControl w:val="false"/>
        <w:numPr>
          <w:ilvl w:val="0"/>
          <w:numId w:val="0"/>
        </w:numPr>
        <w:suppressLineNumbers/>
        <w:suppressAutoHyphens w:val="true"/>
        <w:overflowPunct w:val="false"/>
        <w:bidi w:val="0"/>
        <w:snapToGrid w:val="false"/>
        <w:ind w:left="57" w:right="0" w:hanging="0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</w:r>
    </w:p>
    <w:p>
      <w:pPr>
        <w:pStyle w:val="Contedodatabela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3.10.3. </w:t>
      </w:r>
      <w:r>
        <w:rPr>
          <w:rFonts w:eastAsia="SimSun" w:cs="Calibri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pt-BR" w:eastAsia="zh-CN" w:bidi="hi-IN"/>
        </w:rPr>
        <w:t>Núcleo de Especialidades Médicas Leste (Hospital Zona Leste)</w:t>
      </w:r>
    </w:p>
    <w:p>
      <w:pPr>
        <w:pStyle w:val="Normal"/>
        <w:spacing w:lineRule="auto" w:line="360" w:before="0" w:after="0"/>
        <w:jc w:val="both"/>
        <w:rPr>
          <w:rFonts w:ascii="Arial" w:hAnsi="Arial" w:eastAsia="SimSun" w:cs="Calibri"/>
          <w:b/>
          <w:b/>
          <w:bCs/>
          <w:i w:val="false"/>
          <w:i w:val="false"/>
          <w:iCs w:val="false"/>
          <w:color w:val="auto"/>
          <w:kern w:val="2"/>
          <w:sz w:val="24"/>
          <w:szCs w:val="24"/>
          <w:u w:val="none"/>
          <w:shd w:fill="auto" w:val="clear"/>
          <w:lang w:val="pt-BR" w:eastAsia="zh-CN" w:bidi="hi-IN"/>
        </w:rPr>
      </w:pPr>
      <w:r>
        <w:rPr>
          <w:rFonts w:eastAsia="SimSun" w:cs="Calibri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pt-BR" w:eastAsia="zh-CN" w:bidi="hi-IN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AÇÕES REALIZADAS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Novo cabeamento de internet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Instalação de roteadores para wifi (fila zero) para os pacientes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Implantação e treinamento do sistema ZURICH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Limpeza e capina de área externa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Mutirão de ultrassom obstétrico – 100 exames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Realização de mamografias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Contratação de servidores do Posso Ajudar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Contratação de ortopedista para o ambulatório e realização de pequenos procedimentos cirúrgicos (Dr. Ricardo Cesar Cortes de Bem – Santa Casa de Pirapora)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Mutirão de consultas no ambulatório de urologia (Dr. Fabiano Cunha Borges Ralid)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Implantação do ambulatório de avaliação de cirurgias ortopédicas. (Dr Jose Luiz Bonfitto Filho)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Empréstimo do centro cirúirgico para a realização de procedimentos oftalmológicos – CISMARPA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Ampliação dos atendimentos para a realização de Crioterapia devido aumento de demanda – Dr Fernando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Substituição de lâmpadas LEDs realizada pelo DME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Restruturação interna de ambientes</w:t>
      </w:r>
    </w:p>
    <w:p>
      <w:pPr>
        <w:pStyle w:val="Contedodatabela"/>
        <w:snapToGrid w:val="false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Contedodatabela"/>
        <w:snapToGrid w:val="false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AÇÕES EM DESTAQUE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numPr>
          <w:ilvl w:val="0"/>
          <w:numId w:val="32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Contratação de ortopedista para o ambulatório e realização de pequenos procedimentos cirúrgicos (Dr. Ricardo Cesar Cortes de Bem – Santa Casa de Pirapora)</w:t>
      </w:r>
    </w:p>
    <w:p>
      <w:pPr>
        <w:pStyle w:val="Normal"/>
        <w:numPr>
          <w:ilvl w:val="0"/>
          <w:numId w:val="32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Instalação de roteadores para wifi (fila zero) para os pacientes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3.11. SERVIÇO DE ATENÇÃO DOMICILIAR/SAD</w:t>
      </w:r>
    </w:p>
    <w:p>
      <w:pPr>
        <w:pStyle w:val="Normal"/>
        <w:spacing w:lineRule="atLeast" w:line="10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Quadro 1. Procedimentos realizados pela Equipe SAD no TERCEIRO Quadrimestre de 2023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tbl>
      <w:tblPr>
        <w:tblW w:w="9701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05"/>
        <w:gridCol w:w="1795"/>
      </w:tblGrid>
      <w:tr>
        <w:trPr>
          <w:trHeight w:val="450" w:hRule="atLeast"/>
        </w:trPr>
        <w:tc>
          <w:tcPr>
            <w:tcW w:w="7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jc w:val="center"/>
              <w:rPr>
                <w:b/>
                <w:b/>
                <w:bCs/>
                <w:color w:val="auto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Atividades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jc w:val="center"/>
              <w:rPr>
                <w:b/>
                <w:b/>
                <w:bCs/>
                <w:color w:val="auto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Quantidade</w:t>
            </w:r>
          </w:p>
        </w:tc>
      </w:tr>
      <w:tr>
        <w:trPr>
          <w:trHeight w:val="595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Consulta/ Atendimento médico, de enfermagem e assistência social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6"/>
                <w:szCs w:val="24"/>
                <w:u w:val="none"/>
                <w:shd w:fill="auto" w:val="clear"/>
                <w:em w:val="none"/>
                <w:lang w:val="pt-BR" w:eastAsia="zh-CN" w:bidi="hi-IN"/>
              </w:rPr>
            </w:pPr>
            <w:r>
              <w:rPr>
                <w:rFonts w:eastAsia="SimSun;Arial Unicode MS" w:cs="Mang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4"/>
                <w:u w:val="none"/>
                <w:shd w:fill="auto" w:val="clear"/>
                <w:em w:val="none"/>
                <w:lang w:val="pt-BR" w:eastAsia="zh-CN" w:bidi="hi-IN"/>
              </w:rPr>
              <w:t>3151</w:t>
            </w:r>
          </w:p>
        </w:tc>
      </w:tr>
      <w:tr>
        <w:trPr>
          <w:trHeight w:val="384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Procedimentos domiciliares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6"/>
                <w:szCs w:val="24"/>
                <w:u w:val="none"/>
                <w:shd w:fill="auto" w:val="clear"/>
                <w:em w:val="none"/>
                <w:lang w:val="pt-BR" w:eastAsia="zh-CN" w:bidi="hi-IN"/>
              </w:rPr>
            </w:pPr>
            <w:r>
              <w:rPr>
                <w:rFonts w:eastAsia="SimSun;Arial Unicode MS" w:cs="Mang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4"/>
                <w:u w:val="none"/>
                <w:shd w:fill="auto" w:val="clear"/>
                <w:em w:val="none"/>
                <w:lang w:val="pt-BR" w:eastAsia="zh-CN" w:bidi="hi-IN"/>
              </w:rPr>
              <w:t>15.002</w:t>
            </w:r>
          </w:p>
        </w:tc>
      </w:tr>
      <w:tr>
        <w:trPr>
          <w:trHeight w:val="905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Atendimento equipe de apoio (Fonoaudióloga, Fisioterapeuta, Nutricionista, Psicóloga)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color w:val="auto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SimSun;Arial Unicode MS" w:cs="Mangal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888</w:t>
            </w:r>
          </w:p>
        </w:tc>
      </w:tr>
      <w:tr>
        <w:trPr>
          <w:trHeight w:val="1182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Busca ativa de pacientes (Hospital Santa Lúcia, Hospital Santa Casa, UPA, Hospital Municipal Margarita Morales)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color w:val="auto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SimSun;Arial Unicode MS" w:cs="Mangal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89</w:t>
            </w:r>
          </w:p>
        </w:tc>
      </w:tr>
      <w:tr>
        <w:trPr>
          <w:trHeight w:val="900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shd w:fill="auto" w:val="clear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Atividades relevantes (Matriciamento, Reuniões ESF/UBS/Adefip/Conselho Tutelar, Capacitações)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color w:val="auto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SimSun;Arial Unicode MS" w:cs="Mangal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71</w:t>
            </w:r>
          </w:p>
        </w:tc>
      </w:tr>
      <w:tr>
        <w:trPr>
          <w:trHeight w:val="905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rPr>
                <w:b/>
                <w:b/>
                <w:bCs/>
                <w:color w:val="auto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 xml:space="preserve">Total 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00"/>
              <w:jc w:val="center"/>
              <w:rPr>
                <w:rFonts w:ascii="Times New Roman" w:hAnsi="Times New Roman" w:eastAsia="SimSun;Arial Unicode MS" w:cs="Times New Roman"/>
                <w:b/>
                <w:b/>
                <w:color w:val="auto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19.201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  <w:t>3.11.1 CENTRO DE ATENDIMENTO ESPECIALIZADO NA SAÚDE DA MULHER E DA CRIANÇA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numPr>
          <w:ilvl w:val="0"/>
          <w:numId w:val="33"/>
        </w:numPr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 xml:space="preserve">Foram realizados </w:t>
      </w: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3.133</w:t>
      </w: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 xml:space="preserve"> atendimentos no período;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  <w:t>3.11.2 – CENTRO DE REFERÊNCIA EM CUIDADOS TRANSPECÍFICOS – AMBULATÓRIO TRANSFERIDO: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numPr>
          <w:ilvl w:val="0"/>
          <w:numId w:val="34"/>
        </w:numPr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 xml:space="preserve">Foram realizados </w:t>
      </w: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 xml:space="preserve"> </w:t>
      </w: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 xml:space="preserve">1.194 </w:t>
      </w: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atendimentos no período;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3.12. SAMU – SERVIÇO DE ATENDIMENTO MÓVEL DE URGÊNCIA</w:t>
      </w:r>
    </w:p>
    <w:p>
      <w:pPr>
        <w:pStyle w:val="Normal"/>
        <w:numPr>
          <w:ilvl w:val="0"/>
          <w:numId w:val="0"/>
        </w:numPr>
        <w:suppressAutoHyphens w:val="false"/>
        <w:snapToGrid w:val="false"/>
        <w:spacing w:lineRule="auto" w:line="360" w:before="0" w:after="0"/>
        <w:ind w:left="720" w:hanging="0"/>
        <w:jc w:val="center"/>
        <w:rPr>
          <w:rFonts w:ascii="Arial" w:hAnsi="Arial" w:eastAsia="Calibri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AÇÃO REALIZADA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Capacitação de 100% dos profissionais da rede municipal em suporte básico de vida para leigos;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Preceptoria de alunos do curso de enfermagem da Escola Dom Bosco;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Solicitado conserto das ambulâncias e da motolândia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Compra de máscaras laríngeas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Solicitação de compra de baterias para os desfibriladores externos automáticos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Solicitação de compra de uniformes, botas e camisetas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Reforma do prédio</w:t>
      </w:r>
    </w:p>
    <w:p>
      <w:pPr>
        <w:pStyle w:val="Contedodatabela"/>
        <w:numPr>
          <w:ilvl w:val="0"/>
          <w:numId w:val="0"/>
        </w:numPr>
        <w:snapToGrid w:val="false"/>
        <w:spacing w:lineRule="auto" w:line="360" w:before="0" w:after="0"/>
        <w:ind w:left="720" w:hanging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uppressAutoHyphens w:val="false"/>
        <w:snapToGrid w:val="false"/>
        <w:spacing w:lineRule="auto" w:line="360" w:before="0" w:after="0"/>
        <w:jc w:val="center"/>
        <w:rPr>
          <w:rFonts w:ascii="Arial" w:hAnsi="Arial" w:eastAsia="Calibri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AÇÕES EM DESTAQUE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Estágio dos alunos do Internato do Curso de Medicina da PUC;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Estágio dos alunos do Curso Técnico de Enfermagem da Escola Dom Bosco;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Estágio dos alunos do curso de Enfermagem da PUC;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Estágio dos alunos do curso de Enfermagem da Pitágoras;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Capacitação dos professores do Ensino Fundamental e médio da rede municipal em suporte básico de vida</w:t>
      </w:r>
    </w:p>
    <w:p>
      <w:pPr>
        <w:pStyle w:val="Normal"/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0" w:right="0" w:hanging="0"/>
        <w:jc w:val="both"/>
        <w:rPr>
          <w:rFonts w:ascii="Arial" w:hAnsi="Arial" w:cs="Calibri"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3.13. ASSISTÊNCIA FARMACÊUTICA</w:t>
      </w:r>
    </w:p>
    <w:p>
      <w:pPr>
        <w:pStyle w:val="Normal"/>
        <w:suppressAutoHyphens w:val="false"/>
        <w:spacing w:lineRule="auto" w:line="360" w:before="0" w:after="0"/>
        <w:jc w:val="center"/>
        <w:rPr>
          <w:rFonts w:ascii="Arial" w:hAnsi="Arial" w:eastAsia="Calibri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AÇÃO REALIZADA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Avaliação e projeto para reestruturação física das instalações das unidades de Farmácias Municipais das zonas Leste, Oeste e Sul junto à Secretaria Municipal de Saúde e Vigilância Sanitária.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Implementação de normas, protocolos, procedimentos e reuniões para Lei Municipal nº 9.678, que institui o Programa Farmácia Viva no Município. 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Implementação de normas, protocolos, procedimentos e capacitação para Lei Municipal n° 9650, que institui no Município a concessão do Sensor e Medidor Eletrônico de Glicemia às crianças diabéticas. 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Realização de 2 reuniões da Comissão de Farmácia e Terapêutica - CFT para atualização da REMUME (Relação Municipal de Medicamentos Essenciais)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Atendimento aos usuários da Assistência Farmacêutica Municipal, unidades de farmácia, totalizando 110.497 prescrições atendidas no quadrimestre.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Realização de 02 pregões para aquisição de medicamentos pela Assistência Farmacêutica Municipal, análise de documentação e contratos com fornecedores no 2º quadrimestre.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Aquisições emergenciais para suprir demandas reprimidas de medicamentos que frustraram nos pregões realizados, a fim de não interromper o fornecimento aos usuários do SUS.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Solicitação de preenchimento do quadro de funcionários da Divisão de Assistência Farmacêutica à SMS.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Acompanhamento e análise das solicitações de avaliações especiais recebidas na SMS em relação a medicamentos (CASE).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Acompanhamento das ações da Assistência Farmacêutica no Plano Municipal de Saúde e Programação Anual de Saúde.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Gerenciamento, balanços e controle de estoque de medicamentos em todas as unidades.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Elaboração de resposta as ouvidorias.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Elaboração de pareceres técnicos de medicamentos solicitados a CASE.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Elaboração de resposta aos requerimentos de informação da Câmara de Vereadores de Poços de Caldas.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Ações educativas e informativas nas mídias sociais e televisivas.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0"/>
        <w:ind w:left="720" w:hanging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0"/>
        <w:ind w:left="720" w:hanging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uppressAutoHyphens w:val="false"/>
        <w:spacing w:lineRule="auto" w:line="360" w:before="0" w:after="0"/>
        <w:jc w:val="center"/>
        <w:rPr>
          <w:rFonts w:ascii="Arial" w:hAnsi="Arial" w:eastAsia="Calibri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AÇÃO EM DESTAQUE</w:t>
      </w:r>
    </w:p>
    <w:p>
      <w:pPr>
        <w:pStyle w:val="Normal"/>
        <w:numPr>
          <w:ilvl w:val="0"/>
          <w:numId w:val="38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Avaliação e projeto para reestruturação física das instalações das unidades de Farmácias Municipais das zonas Leste, Oeste e Sul junto à Secretaria Municipal de Saúde e Vigilância Sanitária.</w:t>
      </w:r>
    </w:p>
    <w:p>
      <w:pPr>
        <w:pStyle w:val="Normal"/>
        <w:numPr>
          <w:ilvl w:val="0"/>
          <w:numId w:val="38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Implementação de normas, protocolos e procedimentos para adequação da Lei Municipal n 9650, que institui no Município a concessão do Sensor e Medidor Eletrônico de Glicemia às crianças diabéticas. </w:t>
      </w:r>
    </w:p>
    <w:p>
      <w:pPr>
        <w:pStyle w:val="Normal"/>
        <w:numPr>
          <w:ilvl w:val="0"/>
          <w:numId w:val="38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Implementação de normas, protocolos, procedimentos e reuniões para Lei Municipal nº 9.678, que institui o Programa Farmácia Viva no Município. </w:t>
      </w:r>
    </w:p>
    <w:p>
      <w:pPr>
        <w:pStyle w:val="Normal"/>
        <w:numPr>
          <w:ilvl w:val="0"/>
          <w:numId w:val="38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Atendimento aos usuários da Assistência Farmacêutica Municipal, unidades de farmácia, totalizando 110.497 prescrições atendidas no quadrimestre.</w:t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0" w:right="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0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3.14. COMISSÃO DE ANÁLISE DE SOLICITAÇÕES ESPECIAIS (CASE)</w:t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340" w:right="0" w:hanging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Quadro 3. Comissão de Análise de Solicitações Especiais/CASE – 2º Quadrimestre 2023</w:t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340" w:right="0" w:hanging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tbl>
      <w:tblPr>
        <w:tblW w:w="9252" w:type="dxa"/>
        <w:jc w:val="left"/>
        <w:tblInd w:w="4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0"/>
        <w:gridCol w:w="1831"/>
      </w:tblGrid>
      <w:tr>
        <w:trPr/>
        <w:tc>
          <w:tcPr>
            <w:tcW w:w="7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Número de solicitações para aquisição de medicamentos não padronizados e aquisição de exames / cirurgias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384</w:t>
            </w:r>
          </w:p>
        </w:tc>
      </w:tr>
      <w:tr>
        <w:trPr/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 xml:space="preserve">Medicamentos / Insumos Autorizados 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161</w:t>
            </w:r>
          </w:p>
        </w:tc>
      </w:tr>
      <w:tr>
        <w:trPr/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Exames / Cirurgias Autorizados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13</w:t>
            </w:r>
          </w:p>
        </w:tc>
      </w:tr>
      <w:tr>
        <w:trPr/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Número de pareceres CASE Medicamentos / Insumos / Exames e Cirurgias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204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3.15. SENTENÇAS JUDICIAIS</w:t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340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Quadro 4. Sentenças Judiciais – Terceiro Quadrimestre 2023</w:t>
      </w:r>
    </w:p>
    <w:tbl>
      <w:tblPr>
        <w:tblW w:w="9252" w:type="dxa"/>
        <w:jc w:val="left"/>
        <w:tblInd w:w="4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0"/>
        <w:gridCol w:w="1831"/>
      </w:tblGrid>
      <w:tr>
        <w:trPr/>
        <w:tc>
          <w:tcPr>
            <w:tcW w:w="7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Sentenças Judiciais – processos novos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46</w:t>
            </w:r>
          </w:p>
        </w:tc>
      </w:tr>
      <w:tr>
        <w:trPr/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Média de atendimento mensal  (pacientes)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/>
        <w:tc>
          <w:tcPr>
            <w:tcW w:w="74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Valor gasto com judicialização</w:t>
            </w: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R$3.164.947,74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3.16. MEDICINA SOCIAL</w:t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3.16.1. Programa de Fraldas Descartáveis</w:t>
      </w:r>
    </w:p>
    <w:p>
      <w:pPr>
        <w:pStyle w:val="Normal"/>
        <w:numPr>
          <w:ilvl w:val="0"/>
          <w:numId w:val="39"/>
        </w:numPr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beneficiados 1276 usuários, sendo:1120 adultos e 156 adolescentes e crianças;</w:t>
      </w:r>
    </w:p>
    <w:p>
      <w:pPr>
        <w:pStyle w:val="Normal"/>
        <w:numPr>
          <w:ilvl w:val="0"/>
          <w:numId w:val="39"/>
        </w:numPr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liberadas 3744 pacotes de fraldas.</w:t>
      </w:r>
    </w:p>
    <w:p>
      <w:pPr>
        <w:pStyle w:val="Normal"/>
        <w:numPr>
          <w:ilvl w:val="0"/>
          <w:numId w:val="39"/>
        </w:numPr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beneficiados 2085 pacientes com dietas e suplementos alimentares e liberados 20.734 latas de dietas e suplementos.</w:t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3.16.2. Programa Municipal de Ajuda de Custo com Energia Elétrica para pacientes em uso de Concentrador de Oxigênio Domiciliar</w:t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numPr>
          <w:ilvl w:val="0"/>
          <w:numId w:val="4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1235 solicitações para cálculos e cheques para pagamentos de avaliações em atrasos no valor R$ 224.333,52</w:t>
      </w:r>
    </w:p>
    <w:p>
      <w:pPr>
        <w:pStyle w:val="Normal"/>
        <w:numPr>
          <w:ilvl w:val="0"/>
          <w:numId w:val="4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1 solicitações para cálculos de cheques para pagamentos mensais, somando o valor de R$ 289,76</w:t>
      </w:r>
    </w:p>
    <w:p>
      <w:pPr>
        <w:pStyle w:val="Normal"/>
        <w:numPr>
          <w:ilvl w:val="0"/>
          <w:numId w:val="4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Durante o primeiro quadrimestre de 2023, foram restituídos aos cofres públicos o valor de R$ 93.793,01</w:t>
      </w:r>
    </w:p>
    <w:p>
      <w:pPr>
        <w:pStyle w:val="Normal"/>
        <w:numPr>
          <w:ilvl w:val="0"/>
          <w:numId w:val="4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realizados 9 cálculos para pagamentos via CEJUSC (Centros Judiciários de Solução de Conflitos e Cidadania), totalizando R$ 2.130,15</w:t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3.16.3. Programa de Órtese e Prótese Ortopédica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numPr>
          <w:ilvl w:val="0"/>
          <w:numId w:val="4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No terceiro quadrimestre de 2023 foram agendadas 19 consultas ortopédicas;</w:t>
      </w:r>
    </w:p>
    <w:p>
      <w:pPr>
        <w:pStyle w:val="Normal"/>
        <w:numPr>
          <w:ilvl w:val="0"/>
          <w:numId w:val="4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encaminhados para Varginha-MG, 19 órteses e próteses ortopédicas;</w:t>
      </w:r>
    </w:p>
    <w:p>
      <w:pPr>
        <w:pStyle w:val="Normal"/>
        <w:numPr>
          <w:ilvl w:val="0"/>
          <w:numId w:val="4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encaminhados 2 pacientes para Alfenas-MG, para avaliação de prótese ocular;</w:t>
      </w:r>
    </w:p>
    <w:p>
      <w:pPr>
        <w:pStyle w:val="Normal"/>
        <w:numPr>
          <w:ilvl w:val="0"/>
          <w:numId w:val="4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Conforme quadro abaixo: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tbl>
      <w:tblPr>
        <w:tblW w:w="629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4139"/>
      </w:tblGrid>
      <w:tr>
        <w:trPr/>
        <w:tc>
          <w:tcPr>
            <w:tcW w:w="6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Órtese e Prótese Ortopédica encaminhadas para Varginha – MG e Prótese Ocular para Alfenas-MG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1ª vez / troca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11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Avaliações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Fisioterapia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141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Tirar medidas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4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Entrega de aparelho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34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Reajuste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8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Prótese Ocular Alfenas - MG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Total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175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4. INDICADORES DE MONITORAMENTO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4.1. INDICADORES DE SAÚDE PASSÍVEIS DE MONITORAMENTO QUADRIMESTRAL</w:t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Quadro 5 . Indicadores de saúde com resultados passíveis de apuração quadrimestral. Poços de Caldas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tbl>
      <w:tblPr>
        <w:tblW w:w="9657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55"/>
        <w:gridCol w:w="2820"/>
        <w:gridCol w:w="3582"/>
      </w:tblGrid>
      <w:tr>
        <w:trPr>
          <w:trHeight w:val="780" w:hRule="atLeast"/>
        </w:trPr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Padro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24"/>
                <w:szCs w:val="24"/>
                <w:shd w:fill="auto" w:val="clear"/>
              </w:rPr>
              <w:t>INDICADOR</w:t>
            </w:r>
          </w:p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Gray3"/>
              <w:widowControl w:val="false"/>
              <w:jc w:val="center"/>
              <w:rPr>
                <w:rFonts w:ascii="Calibri" w:hAnsi="Calibri" w:cs="Calibri"/>
                <w:b/>
                <w:b/>
                <w:i w:val="false"/>
                <w:i w:val="false"/>
                <w:color w:val="auto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cs="Calibri" w:ascii="Calibri" w:hAnsi="Calibri"/>
                <w:b/>
                <w:i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RESULTADO</w:t>
            </w:r>
          </w:p>
          <w:p>
            <w:pPr>
              <w:pStyle w:val="Gray3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i w:val="false"/>
                <w:color w:val="000000"/>
                <w:sz w:val="24"/>
                <w:szCs w:val="24"/>
                <w:shd w:fill="auto" w:val="clear"/>
              </w:rPr>
              <w:t>3</w:t>
            </w:r>
            <w:r>
              <w:rPr>
                <w:rFonts w:cs="Calibri" w:ascii="Calibri" w:hAnsi="Calibri"/>
                <w:b/>
                <w:i w:val="false"/>
                <w:color w:val="000000"/>
                <w:sz w:val="24"/>
                <w:szCs w:val="24"/>
                <w:shd w:fill="auto" w:val="clear"/>
              </w:rPr>
              <w:t>º QUAD/2023</w:t>
            </w:r>
          </w:p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Gray3"/>
              <w:widowControl w:val="false"/>
              <w:jc w:val="center"/>
              <w:rPr>
                <w:rFonts w:ascii="Calibri" w:hAnsi="Calibri" w:cs="Calibri"/>
                <w:b/>
                <w:b/>
                <w:i w:val="false"/>
                <w:i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b/>
                <w:i w:val="false"/>
                <w:color w:val="000000"/>
                <w:sz w:val="24"/>
                <w:szCs w:val="24"/>
                <w:shd w:fill="auto" w:val="clear"/>
              </w:rPr>
              <w:t>ANÁLISE  DO INDICADOR</w:t>
            </w:r>
          </w:p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1904" w:hRule="atLeast"/>
        </w:trPr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PROPORÇÃO DE ÓBITOS 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INFANTIS E</w:t>
            </w:r>
          </w:p>
          <w:p>
            <w:pPr>
              <w:pStyle w:val="Gray2"/>
              <w:widowControl w:val="false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        </w:t>
            </w: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>FETAIS INVESTIGADOS</w:t>
            </w:r>
          </w:p>
          <w:p>
            <w:pPr>
              <w:pStyle w:val="Padro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color w:val="000000"/>
                <w:position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shadow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shadow w:val="false"/>
                <w:color w:val="000000"/>
                <w:sz w:val="24"/>
                <w:szCs w:val="24"/>
                <w:shd w:fill="auto" w:val="clear"/>
              </w:rPr>
              <w:t>Infantil 01</w:t>
            </w:r>
          </w:p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shadow w:val="false"/>
                <w:color w:val="000000"/>
                <w:sz w:val="24"/>
                <w:szCs w:val="24"/>
                <w:shd w:fill="auto" w:val="clear"/>
              </w:rPr>
              <w:t xml:space="preserve">   </w:t>
            </w:r>
            <w:r>
              <w:rPr>
                <w:rFonts w:cs="Calibri" w:ascii="Calibri" w:hAnsi="Calibri"/>
                <w:b w:val="false"/>
                <w:bCs w:val="false"/>
                <w:i w:val="false"/>
                <w:shadow w:val="false"/>
                <w:color w:val="000000"/>
                <w:sz w:val="24"/>
                <w:szCs w:val="24"/>
                <w:shd w:fill="auto" w:val="clear"/>
              </w:rPr>
              <w:t>Fetal    09</w:t>
            </w:r>
          </w:p>
          <w:p>
            <w:pPr>
              <w:pStyle w:val="Gray3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ray2"/>
              <w:widowControl w:val="false"/>
              <w:jc w:val="left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position w:val="1"/>
                <w:sz w:val="24"/>
                <w:szCs w:val="24"/>
                <w:shd w:fill="auto" w:val="clear"/>
              </w:rPr>
              <w:t>Ocorreram 01 óbitos infantis no 3</w:t>
            </w: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>º quadrimestre e 09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 xml:space="preserve"> óbitos fetais.</w:t>
            </w:r>
          </w:p>
          <w:p>
            <w:pPr>
              <w:pStyle w:val="Gray2"/>
              <w:widowControl w:val="false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</w:p>
          <w:p>
            <w:pPr>
              <w:pStyle w:val="Gray2"/>
              <w:widowControl w:val="false"/>
              <w:jc w:val="left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Gray3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1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PROPORÇÃO DE ÓBITOS 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MATERNOS</w:t>
            </w:r>
          </w:p>
          <w:p>
            <w:pPr>
              <w:pStyle w:val="Gray1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i w:val="false"/>
                <w:i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>INVESTIGADOS</w:t>
            </w:r>
          </w:p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3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ray1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i w:val="false"/>
                <w:i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>-</w:t>
            </w:r>
          </w:p>
          <w:p>
            <w:pPr>
              <w:pStyle w:val="Gray2"/>
              <w:widowControl w:val="false"/>
              <w:jc w:val="left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1039" w:hRule="atLeast"/>
        </w:trPr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position w:val="1"/>
                <w:sz w:val="24"/>
                <w:szCs w:val="24"/>
                <w:shd w:fill="auto" w:val="clear"/>
              </w:rPr>
              <w:t>PROPORÇÃO</w:t>
            </w: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 DE ÓBITOS DE 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MULHERES</w:t>
            </w:r>
          </w:p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EM IDADE FÉRTIL 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INVESTIGADOS</w:t>
            </w:r>
          </w:p>
          <w:p>
            <w:pPr>
              <w:pStyle w:val="Gray1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13</w:t>
            </w:r>
          </w:p>
        </w:tc>
        <w:tc>
          <w:tcPr>
            <w:tcW w:w="3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ray1"/>
              <w:widowControl w:val="false"/>
              <w:jc w:val="left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Ocorreram 13 óbitos em MIF.</w:t>
            </w:r>
          </w:p>
        </w:tc>
      </w:tr>
      <w:tr>
        <w:trPr/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Nº ABSOLUTO DE MORTE POR DENGUE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3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ray1"/>
              <w:widowControl w:val="false"/>
              <w:jc w:val="left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Não houve caso por dengue no terceiro quadrimestre de 2023</w:t>
            </w:r>
          </w:p>
        </w:tc>
      </w:tr>
    </w:tbl>
    <w:p>
      <w:pPr>
        <w:pStyle w:val="Normal"/>
        <w:spacing w:lineRule="auto" w:line="360" w:before="0" w:after="0"/>
        <w:ind w:left="0" w:right="567" w:hanging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ind w:left="0" w:right="567" w:hanging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ind w:left="0" w:right="567" w:hanging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FONTE: Vigilância Epidemiológica – SMS – Poços de Caldas</w:t>
      </w:r>
    </w:p>
    <w:p>
      <w:pPr>
        <w:pStyle w:val="Padro"/>
        <w:widowControl/>
        <w:bidi w:val="0"/>
        <w:spacing w:lineRule="auto" w:line="360" w:before="0" w:after="0"/>
        <w:ind w:left="-225" w:right="567" w:firstLine="30"/>
        <w:jc w:val="both"/>
        <w:rPr>
          <w:rFonts w:ascii="Arial" w:hAnsi="Arial"/>
          <w:color w:val="auto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13"/>
          <w:sz w:val="24"/>
          <w:szCs w:val="24"/>
          <w:u w:val="none"/>
          <w:shd w:fill="auto" w:val="clear"/>
          <w:em w:val="none"/>
        </w:rPr>
        <w:t xml:space="preserve">  </w:t>
      </w: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1"/>
          <w:sz w:val="24"/>
          <w:szCs w:val="24"/>
          <w:u w:val="none"/>
          <w:shd w:fill="auto" w:val="clear"/>
          <w:em w:val="none"/>
        </w:rPr>
        <w:t xml:space="preserve">*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Conforme Caderno de Diretrizes, Objetivos , Metas e   Indicadores 2013-2015, MS, Brasília – DF,  2015.</w:t>
      </w:r>
    </w:p>
    <w:p>
      <w:pPr>
        <w:pStyle w:val="Normal"/>
        <w:spacing w:lineRule="auto" w:line="360" w:before="0" w:after="0"/>
        <w:ind w:left="0" w:right="567" w:hanging="0"/>
        <w:jc w:val="left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4.2. NASCIDOS VIVOS – RESIDENTES – 3º  QUADRIMESTRE 2023 – POÇOS DE CALDAS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Quadro 6.  Frequência de Nascidos vivos no terceiro quadrimestre de 2023. Poços de Caldas, Minas Gerais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Corpodotexto"/>
        <w:spacing w:lineRule="auto" w:line="360" w:before="0" w:after="0"/>
        <w:jc w:val="center"/>
        <w:rPr>
          <w:rFonts w:ascii="Calibri;sans-serif" w:hAnsi="Calibri;sans-serif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;sans-serif" w:hAnsi="Calibri;sans-serif"/>
          <w:b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Nascidos Vivos - Residentes - Poços de Caldas – 2023</w:t>
      </w:r>
    </w:p>
    <w:p>
      <w:pPr>
        <w:pStyle w:val="Corpodotexto"/>
        <w:spacing w:before="0" w:after="0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rpodotexto"/>
        <w:spacing w:before="0" w:after="0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rpodotexto"/>
        <w:spacing w:before="0" w:after="0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tbl>
      <w:tblPr>
        <w:tblW w:w="8001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0" w:type="dxa"/>
        </w:tblCellMar>
      </w:tblPr>
      <w:tblGrid>
        <w:gridCol w:w="2732"/>
        <w:gridCol w:w="1067"/>
        <w:gridCol w:w="1017"/>
        <w:gridCol w:w="1134"/>
        <w:gridCol w:w="1250"/>
        <w:gridCol w:w="800"/>
      </w:tblGrid>
      <w:tr>
        <w:trPr/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Estabelecimento Saúde</w:t>
            </w:r>
          </w:p>
        </w:tc>
        <w:tc>
          <w:tcPr>
            <w:tcW w:w="5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3º Quadrimestre</w:t>
            </w:r>
          </w:p>
        </w:tc>
      </w:tr>
      <w:tr>
        <w:trPr/>
        <w:tc>
          <w:tcPr>
            <w:tcW w:w="27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left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Setembro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Outubro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Novembro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Dezembro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TOTAL</w:t>
            </w:r>
          </w:p>
        </w:tc>
      </w:tr>
      <w:tr>
        <w:trPr>
          <w:trHeight w:val="360" w:hRule="atLeast"/>
        </w:trPr>
        <w:tc>
          <w:tcPr>
            <w:tcW w:w="2732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Santa Casa</w:t>
            </w:r>
          </w:p>
        </w:tc>
        <w:tc>
          <w:tcPr>
            <w:tcW w:w="1067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116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121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117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6" w:space="0" w:color="000000"/>
            </w:tcBorders>
            <w:tcMar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473</w:t>
            </w:r>
          </w:p>
        </w:tc>
      </w:tr>
      <w:tr>
        <w:trPr>
          <w:trHeight w:val="360" w:hRule="atLeast"/>
        </w:trPr>
        <w:tc>
          <w:tcPr>
            <w:tcW w:w="2732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Hospital Poços de Caldas</w:t>
            </w:r>
          </w:p>
        </w:tc>
        <w:tc>
          <w:tcPr>
            <w:tcW w:w="1067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13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08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13</w:t>
            </w:r>
          </w:p>
        </w:tc>
        <w:tc>
          <w:tcPr>
            <w:tcW w:w="1250" w:type="dxa"/>
            <w:tcBorders>
              <w:lef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09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2732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Unimed</w:t>
            </w:r>
          </w:p>
        </w:tc>
        <w:tc>
          <w:tcPr>
            <w:tcW w:w="1067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04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05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04</w:t>
            </w:r>
          </w:p>
        </w:tc>
        <w:tc>
          <w:tcPr>
            <w:tcW w:w="1250" w:type="dxa"/>
            <w:tcBorders>
              <w:lef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05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27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Domiciliar</w:t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00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00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00</w:t>
            </w:r>
          </w:p>
        </w:tc>
        <w:tc>
          <w:tcPr>
            <w:tcW w:w="1250" w:type="dxa"/>
            <w:tcBorders>
              <w:lef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01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27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Total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133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134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134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tcMar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535</w:t>
            </w:r>
          </w:p>
        </w:tc>
      </w:tr>
    </w:tbl>
    <w:p>
      <w:pPr>
        <w:pStyle w:val="Corpodotexto"/>
        <w:spacing w:lineRule="auto" w:line="36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Fonte: Vigilância Epidemiológica. SMS. Poços de Caldas.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 xml:space="preserve">4.3. AGRAVOS NOTIFICADOS E REGISTRADOS NO SINAN LOCAL- 3º QUADRIMESTRE 2023 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Quadro 7.  Agravos no terceiro quadrimestre de 2023. Poços de Caldas, Minas Gerais.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tbl>
      <w:tblPr>
        <w:tblW w:w="5840" w:type="dxa"/>
        <w:jc w:val="left"/>
        <w:tblInd w:w="5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19"/>
        <w:gridCol w:w="2020"/>
      </w:tblGrid>
      <w:tr>
        <w:trPr>
          <w:trHeight w:val="900" w:hRule="atLeast"/>
        </w:trPr>
        <w:tc>
          <w:tcPr>
            <w:tcW w:w="3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Agravos notificados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Total notificado (Entre confirmados e descartados)</w:t>
            </w:r>
          </w:p>
        </w:tc>
      </w:tr>
      <w:tr>
        <w:trPr>
          <w:trHeight w:val="300" w:hRule="atLeast"/>
        </w:trPr>
        <w:tc>
          <w:tcPr>
            <w:tcW w:w="381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B41  PARACOCCIDIOIDOMICOSE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A539 SIFILIS NAO ESPECIFICADA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103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Z206 CRIANCA EXPOSTA HIV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A279 LEPTOSPIROSE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02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A169 TUBERCULOSE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B26  CAXUMBA [PAROTIDITE EPIDEMICA]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B24  AIDS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Y96  ACIDENTE DE TRABALHO GRAVE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Z579 LER DORT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04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A779 FEBRE MACULOSA / RICKETTSIOSES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B19  HEPATITES VIRAIS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08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G610 SINDROME DE GUILLAIN-BARRE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6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Z209 ACIDENTE DE TRABALHO COM EXPOSICAO A MATERIAL BIOLOGICO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A379 COQUELUCHE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A509 SIFILIS CONGENITA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07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O981 SIFILIS EM GESTANTE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18</w:t>
            </w:r>
          </w:p>
        </w:tc>
      </w:tr>
      <w:tr>
        <w:trPr>
          <w:trHeight w:val="6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Y09  VIOLENCIA INTERPESSOAL/AUTOPROVOCADA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P371 TOXOPLASMOSE CONGENITA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9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O986 DOENCAS CAUSADAS POR PROTOZOARIOS COMPLICANDO A GRAVIDEZ,O PARTO E O PUERPERIO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05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B01  VARICELA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06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T659 INTOXICACAO EXOGENA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P96  OUTRAS AFECCOES ORIGINADAS NO PERIODO PERINATAL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02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W64  ATENDIMENTO ANTI-RABICO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B550 LEISHMANIOSE VISCERAL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6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X29  ACIDENTE POR ANIMAIS PECONHENTOS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 xml:space="preserve"> </w:t>
            </w: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A90 - DENGUE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381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 xml:space="preserve"> </w:t>
            </w: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A92.0 - FEBRE DE CHIKUNGUNYA</w:t>
            </w:r>
          </w:p>
        </w:tc>
        <w:tc>
          <w:tcPr>
            <w:tcW w:w="2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13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5. INFORMAÇÕES SOBRE AUDITORIAS</w:t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</w:rPr>
        <w:t xml:space="preserve">Quadro 8. Relatório de Auditorias </w:t>
      </w:r>
      <w:r>
        <w:rPr>
          <w:rFonts w:cs="Calibri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1"/>
          <w:sz w:val="26"/>
          <w:szCs w:val="26"/>
          <w:u w:val="none"/>
          <w:shd w:fill="auto" w:val="clear"/>
          <w:em w:val="none"/>
        </w:rPr>
        <w:t>realizadas ou em fase de execu</w:t>
      </w:r>
      <w:r>
        <w:rPr>
          <w:rFonts w:cs="Calibri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6"/>
          <w:szCs w:val="26"/>
          <w:u w:val="none"/>
          <w:shd w:fill="auto" w:val="clear"/>
          <w:em w:val="none"/>
        </w:rPr>
        <w:t xml:space="preserve">ção no terceiro quadrimestre/2023 e suas recomendações e determinações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</w:rPr>
        <w:t>- SMS – Setembro à Dezembro_2023, Poços de Caldas, MG.</w:t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/>
          <w:color w:val="auto"/>
          <w:shd w:fill="auto" w:val="clear"/>
        </w:rPr>
      </w:pPr>
      <w:r>
        <w:rPr>
          <w:rFonts w:eastAsia="Calibri" w:cs="Calibri" w:ascii="Arial" w:hAnsi="Arial"/>
          <w:b/>
          <w:bCs/>
          <w:color w:val="000000"/>
          <w:sz w:val="24"/>
          <w:szCs w:val="24"/>
          <w:shd w:fill="auto" w:val="clear"/>
          <w:lang w:val="pt-PT"/>
        </w:rPr>
        <w:t xml:space="preserve">   </w:t>
      </w: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  <w:lang w:val="pt-PT"/>
        </w:rPr>
        <w:t xml:space="preserve">AUDITORIA: </w:t>
      </w:r>
      <w:r>
        <w:rPr>
          <w:rFonts w:eastAsia="Bookman Old Style" w:cs="Calibri" w:ascii="Arial" w:hAnsi="Arial"/>
          <w:color w:val="000000"/>
          <w:sz w:val="24"/>
          <w:szCs w:val="24"/>
          <w:shd w:fill="auto" w:val="clear"/>
          <w:lang w:val="pt-PT"/>
        </w:rPr>
        <w:t xml:space="preserve">Demandante:  CAM – CONTROLADORIA DE AUDITORIA MUNICIPAL </w:t>
      </w:r>
    </w:p>
    <w:p>
      <w:pPr>
        <w:pStyle w:val="Standard"/>
        <w:widowControl w:val="false"/>
        <w:suppressAutoHyphens w:val="true"/>
        <w:ind w:left="0" w:right="0" w:firstLine="180"/>
        <w:jc w:val="both"/>
        <w:textAlignment w:val="baseline"/>
        <w:rPr>
          <w:rFonts w:ascii="Arial" w:hAnsi="Arial" w:eastAsia="Bookman Old Style" w:cs="Calibri"/>
          <w:color w:val="auto"/>
          <w:sz w:val="24"/>
          <w:szCs w:val="24"/>
          <w:shd w:fill="auto" w:val="clear"/>
          <w:lang w:val="pt-PT"/>
        </w:rPr>
      </w:pPr>
      <w:r>
        <w:rPr>
          <w:rFonts w:eastAsia="Bookman Old Style" w:cs="Calibri" w:ascii="Arial" w:hAnsi="Arial"/>
          <w:color w:val="000000"/>
          <w:sz w:val="24"/>
          <w:szCs w:val="24"/>
          <w:shd w:fill="auto" w:val="clear"/>
          <w:lang w:val="pt-PT"/>
        </w:rPr>
        <w:t>ÓRGÃO RESPONSÁVEL PELA AUDITORIA: SAM – SERVIÇO DE AUDITORIA MUNICIPAL</w:t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FONTE: CONTROLE E AVALIAÇÃO -  SMS – POÇOS DE CALDAS/MG</w:t>
      </w: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 xml:space="preserve">   </w:t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840" w:right="1121" w:gutter="0" w:header="915" w:top="1290" w:footer="1135" w:bottom="1305"/>
          <w:pgNumType w:fmt="decimal"/>
          <w:formProt w:val="false"/>
          <w:titlePg/>
          <w:textDirection w:val="lrTb"/>
          <w:docGrid w:type="default" w:linePitch="312" w:charSpace="0"/>
        </w:sect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color w:val="auto"/>
          <w:sz w:val="24"/>
          <w:szCs w:val="24"/>
          <w:shd w:fill="auto" w:val="clear"/>
          <w:lang w:val="pt-PT"/>
        </w:rPr>
      </w:pPr>
      <w:r>
        <w:rPr>
          <w:rFonts w:eastAsia="Bookman Old Style" w:cs="Calibri" w:ascii="Calibri" w:hAnsi="Calibri"/>
          <w:b/>
          <w:bCs/>
          <w:color w:val="000000"/>
          <w:sz w:val="24"/>
          <w:szCs w:val="24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Calibri" w:hAnsi="Calibri" w:eastAsia="Bookman Old Style" w:cs="Calibri"/>
          <w:b/>
          <w:b/>
          <w:bCs/>
          <w:color w:val="auto"/>
          <w:sz w:val="24"/>
          <w:szCs w:val="24"/>
          <w:shd w:fill="auto" w:val="clear"/>
          <w:lang w:val="pt-PT"/>
        </w:rPr>
      </w:pPr>
      <w:r>
        <w:rPr>
          <w:rFonts w:eastAsia="Bookman Old Style" w:cs="Calibri" w:ascii="Calibri" w:hAnsi="Calibri"/>
          <w:b/>
          <w:bCs/>
          <w:color w:val="000000"/>
          <w:sz w:val="24"/>
          <w:szCs w:val="24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Calibri" w:hAnsi="Calibri" w:eastAsia="Bookman Old Style" w:cs="Calibri"/>
          <w:b/>
          <w:b/>
          <w:bCs/>
          <w:color w:val="auto"/>
          <w:sz w:val="24"/>
          <w:szCs w:val="24"/>
          <w:shd w:fill="auto" w:val="clear"/>
          <w:lang w:val="pt-PT"/>
        </w:rPr>
      </w:pPr>
      <w:r>
        <w:rPr>
          <w:rFonts w:eastAsia="Bookman Old Style" w:cs="Calibri" w:ascii="Calibri" w:hAnsi="Calibri"/>
          <w:b/>
          <w:bCs/>
          <w:color w:val="000000"/>
          <w:sz w:val="24"/>
          <w:szCs w:val="24"/>
          <w:shd w:fill="auto" w:val="clear"/>
          <w:lang w:val="pt-PT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203180" cy="256032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18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widowControl w:val="false"/>
        <w:suppressAutoHyphens w:val="true"/>
        <w:overflowPunct w:val="false"/>
        <w:bidi w:val="0"/>
        <w:spacing w:lineRule="auto" w:line="360" w:before="0" w:after="0"/>
        <w:ind w:left="0" w:right="420" w:hanging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-371475</wp:posOffset>
            </wp:positionH>
            <wp:positionV relativeFrom="paragraph">
              <wp:posOffset>116205</wp:posOffset>
            </wp:positionV>
            <wp:extent cx="9951085" cy="517525"/>
            <wp:effectExtent l="0" t="0" r="0" b="0"/>
            <wp:wrapTopAndBottom/>
            <wp:docPr id="2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08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 PRODUÇÃO DOS SERVIÇOS DE SAÚDE</w:t>
      </w:r>
    </w:p>
    <w:p>
      <w:pPr>
        <w:pStyle w:val="Normal"/>
        <w:jc w:val="left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  <w:t>6.1 PRODUÇÃO HOSPITALAR  (INTERNAÇÕES) POR COMPLEXIDADE</w:t>
      </w:r>
    </w:p>
    <w:p>
      <w:pPr>
        <w:pStyle w:val="Normal"/>
        <w:spacing w:lineRule="atLeast" w:line="10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3º Quadrimestre de 2023 (setembro a dezembro)</w:t>
      </w:r>
    </w:p>
    <w:p>
      <w:pPr>
        <w:pStyle w:val="Normal"/>
        <w:spacing w:lineRule="atLeast" w:line="10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12801" w:dyaOrig="2305">
          <v:shapetype id="_x0000_tole_rId10" coordsize="21600,21600" o:spt="ole_rId1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0" type="_x0000_tole_rId10" style="position:absolute;margin-left:-6.05pt;margin-top:1.35pt;width:532.65pt;height:129.45pt;mso-wrap-distance-right:0pt;mso-position-horizontal-relative:text;mso-position-vertical-relative:text" filled="f" o:ole="">
            <v:imagedata r:id="rId11" o:title=""/>
            <w10:wrap type="square"/>
          </v:shape>
          <o:OLEObject Type="Embed" ProgID="Excel.Sheet.12" ShapeID="ole_rId10" DrawAspect="Content" ObjectID="_1192606174" r:id="rId10"/>
        </w:objec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6401" w:dyaOrig="2048"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position:absolute;margin-left:61.3pt;margin-top:1.35pt;width:425.25pt;height:144.1pt;mso-wrap-distance-right:0pt;mso-position-horizontal-relative:text;mso-position-vertical-relative:text" filled="f" o:ole="">
            <v:imagedata r:id="rId13" o:title=""/>
            <w10:wrap type="square"/>
          </v:shape>
          <o:OLEObject Type="Embed" ProgID="Excel.Sheet.12" ShapeID="ole_rId12" DrawAspect="Content" ObjectID="_1118916983" r:id="rId12"/>
        </w:objec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  <w:t xml:space="preserve"> </w:t>
      </w: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  <w:t xml:space="preserve">Fonte: MS/Datasus/arquivo RD/TabWin 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6.2 PRODUÇÃO DA REDE ASSISTENCIAL - PRODUÇÃO AMBULATORIAL</w:t>
      </w:r>
    </w:p>
    <w:p>
      <w:pPr>
        <w:pStyle w:val="Normal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3º Quadrimestre de 2023 (SETEMBRO, OUTUBRO, NOVEMBRO, DEZEMBRO)</w:t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16641" w:dyaOrig="16129">
          <v:shapetype id="_x0000_tole_rId14" coordsize="21600,21600" o:spt="ole_rId1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4" type="_x0000_tole_rId14" style="position:absolute;margin-left:-0.6pt;margin-top:12.65pt;width:481.75pt;height:686.75pt;mso-wrap-distance-right:0pt;mso-position-horizontal-relative:text;mso-position-vertical-relative:text" filled="f" o:ole="">
            <v:imagedata r:id="rId15" o:title=""/>
            <w10:wrap type="square"/>
          </v:shape>
          <o:OLEObject Type="Embed" ProgID="Excel.Sheet.12" ShapeID="ole_rId14" DrawAspect="Content" ObjectID="_545284621" r:id="rId14"/>
        </w:object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16641" w:dyaOrig="6913">
          <v:shapetype id="_x0000_tole_rId16" coordsize="21600,21600" o:spt="ole_rId1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6" type="_x0000_tole_rId16" style="position:absolute;margin-left:-7.85pt;margin-top:13.95pt;width:529.4pt;height:266.3pt;mso-wrap-distance-right:0pt;mso-position-horizontal-relative:text;mso-position-vertical-relative:text" filled="f" o:ole="">
            <v:imagedata r:id="rId17" o:title=""/>
            <w10:wrap type="square"/>
          </v:shape>
          <o:OLEObject Type="Embed" ProgID="Excel.Sheet.12" ShapeID="ole_rId16" DrawAspect="Content" ObjectID="_1567658176" r:id="rId16"/>
        </w:object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6.3 .PRODUÇÃO HOSPITALAR  (INTERNAÇÕES) POR COMPLEXIDADE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12801" w:dyaOrig="9729">
          <v:shapetype id="_x0000_tole_rId18" coordsize="21600,21600" o:spt="ole_rId1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8" type="_x0000_tole_rId18" style="position:absolute;margin-left:37.3pt;margin-top:13.1pt;width:433.25pt;height:562.6pt;mso-wrap-distance-right:0pt;mso-position-horizontal-relative:text;mso-position-vertical-relative:text" filled="f" o:ole="">
            <v:imagedata r:id="rId19" o:title=""/>
            <w10:wrap type="square"/>
          </v:shape>
          <o:OLEObject Type="Embed" ProgID="Excel.Sheet.12" ShapeID="ole_rId18" DrawAspect="Content" ObjectID="_745743578" r:id="rId18"/>
        </w:objec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6.5 PRODUÇÃO AMBULATORIAL – ATENÇÃO BÁSICA – E-SUS – ESF</w:t>
      </w:r>
    </w:p>
    <w:tbl>
      <w:tblPr>
        <w:tblW w:w="7250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4273"/>
        <w:gridCol w:w="2976"/>
      </w:tblGrid>
      <w:tr>
        <w:trPr>
          <w:trHeight w:val="1050" w:hRule="exact"/>
        </w:trPr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CC5E7" w:val="clear"/>
          </w:tcPr>
          <w:p>
            <w:pPr>
              <w:pStyle w:val="TableParagraph"/>
              <w:widowControl w:val="false"/>
              <w:spacing w:before="17" w:after="0"/>
              <w:ind w:left="161" w:right="0" w:hanging="0"/>
              <w:jc w:val="center"/>
              <w:rPr>
                <w:color w:val="auto"/>
              </w:rPr>
            </w:pPr>
            <w:r>
              <w:rPr>
                <w:rFonts w:cs="Calibri"/>
                <w:b/>
                <w:bCs/>
                <w:color w:val="auto"/>
                <w:spacing w:val="-2"/>
                <w:sz w:val="24"/>
                <w:szCs w:val="24"/>
              </w:rPr>
              <w:t>Relatório</w:t>
            </w: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1"/>
                <w:sz w:val="24"/>
                <w:szCs w:val="24"/>
              </w:rPr>
              <w:t>de</w:t>
            </w:r>
            <w:r>
              <w:rPr>
                <w:rFonts w:cs="Calibri"/>
                <w:b/>
                <w:bCs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2"/>
                <w:sz w:val="24"/>
                <w:szCs w:val="24"/>
              </w:rPr>
              <w:t>atendimentos</w:t>
            </w: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widowControl w:val="false"/>
              <w:ind w:left="161" w:right="0" w:hanging="0"/>
              <w:jc w:val="center"/>
              <w:rPr>
                <w:color w:val="auto"/>
              </w:rPr>
            </w:pPr>
            <w:r>
              <w:rPr>
                <w:rFonts w:cs="Calibri"/>
                <w:b/>
                <w:bCs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3"/>
                <w:sz w:val="24"/>
                <w:szCs w:val="24"/>
              </w:rPr>
              <w:t>Atenção</w:t>
            </w:r>
            <w:r>
              <w:rPr>
                <w:rFonts w:cs="Calibri"/>
                <w:b/>
                <w:bCs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1"/>
                <w:sz w:val="24"/>
                <w:szCs w:val="24"/>
              </w:rPr>
              <w:t>Básica</w:t>
            </w: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widowControl w:val="false"/>
              <w:ind w:left="161" w:right="0" w:hanging="0"/>
              <w:jc w:val="center"/>
              <w:rPr>
                <w:color w:val="auto"/>
              </w:rPr>
            </w:pP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>3</w:t>
            </w:r>
            <w:r>
              <w:rPr>
                <w:rFonts w:cs="Calibri"/>
                <w:b/>
                <w:bCs/>
                <w:color w:val="auto"/>
                <w:sz w:val="24"/>
                <w:szCs w:val="24"/>
              </w:rPr>
              <w:t>º</w:t>
            </w: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1"/>
                <w:sz w:val="24"/>
                <w:szCs w:val="24"/>
              </w:rPr>
              <w:t>Quadrimestre</w:t>
            </w:r>
            <w:r>
              <w:rPr>
                <w:rFonts w:cs="Calibri"/>
                <w:b/>
                <w:bCs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1"/>
                <w:sz w:val="24"/>
                <w:szCs w:val="24"/>
              </w:rPr>
              <w:t>de</w:t>
            </w: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z w:val="24"/>
                <w:szCs w:val="24"/>
              </w:rPr>
              <w:t>2023</w:t>
            </w:r>
          </w:p>
        </w:tc>
      </w:tr>
      <w:tr>
        <w:trPr>
          <w:trHeight w:val="256" w:hRule="exact"/>
        </w:trPr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4" w:before="17" w:after="0"/>
              <w:ind w:left="0" w:right="1" w:hanging="0"/>
              <w:jc w:val="center"/>
              <w:rPr>
                <w:color w:val="auto"/>
              </w:rPr>
            </w:pP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Médico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7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Atenção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6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Básica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Consulta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na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Unidade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e no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domicílio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67977</w:t>
            </w:r>
          </w:p>
        </w:tc>
      </w:tr>
      <w:tr>
        <w:trPr>
          <w:trHeight w:val="255" w:hRule="exact"/>
        </w:trPr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3" w:before="17" w:after="0"/>
              <w:ind w:left="2155" w:right="0" w:hanging="0"/>
              <w:rPr>
                <w:color w:val="auto"/>
              </w:rPr>
            </w:pP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Enfermeiro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z w:val="20"/>
              </w:rPr>
              <w:t>da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Atenção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Básica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Consulta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na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Unidade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e no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domicílio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28368</w:t>
            </w:r>
          </w:p>
        </w:tc>
      </w:tr>
      <w:tr>
        <w:trPr>
          <w:trHeight w:val="256" w:hRule="exact"/>
        </w:trPr>
        <w:tc>
          <w:tcPr>
            <w:tcW w:w="72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4" w:before="17" w:after="0"/>
              <w:ind w:left="1375" w:right="0" w:hanging="0"/>
              <w:rPr>
                <w:color w:val="auto"/>
              </w:rPr>
            </w:pP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Visita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domiciliar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Agente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Comunitário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z w:val="20"/>
              </w:rPr>
              <w:t>de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Saúde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Visita</w:t>
            </w:r>
            <w:r>
              <w:rPr>
                <w:rFonts w:ascii="Liberation Sans;Liberation Sans" w:hAnsi="Liberation Sans;Liberation Sans"/>
                <w:color w:val="auto"/>
                <w:spacing w:val="-3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realizada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spacing w:val="-3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3"/>
                <w:w w:val="95"/>
                <w:sz w:val="20"/>
              </w:rPr>
              <w:t>212133</w:t>
            </w:r>
          </w:p>
        </w:tc>
      </w:tr>
      <w:tr>
        <w:trPr>
          <w:trHeight w:val="256" w:hRule="exact"/>
        </w:trPr>
        <w:tc>
          <w:tcPr>
            <w:tcW w:w="72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4" w:before="17" w:after="0"/>
              <w:ind w:left="2305" w:right="0" w:hanging="0"/>
              <w:rPr>
                <w:color w:val="auto"/>
              </w:rPr>
            </w:pP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Relatório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z w:val="20"/>
              </w:rPr>
              <w:t>de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procedimentos</w:t>
            </w:r>
          </w:p>
        </w:tc>
      </w:tr>
      <w:tr>
        <w:trPr>
          <w:trHeight w:val="257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Aferição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9"/>
                <w:sz w:val="20"/>
              </w:rPr>
              <w:t>PA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52957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Aferição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2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 temperatura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4586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Coleta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 de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material para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exame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laboratorial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14632</w:t>
            </w:r>
          </w:p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32</w:t>
            </w:r>
          </w:p>
        </w:tc>
      </w:tr>
      <w:tr>
        <w:trPr>
          <w:trHeight w:val="254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Curativo simples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1481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Glicemia</w:t>
            </w:r>
            <w:r>
              <w:rPr>
                <w:rFonts w:ascii="Liberation Sans;Liberation Sans" w:hAnsi="Liberation Sans;Liberation Sans"/>
                <w:color w:val="auto"/>
                <w:spacing w:val="-2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capilar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6652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Medição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de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altura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688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Medição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de peso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6017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Cateterismo vesical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de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alívio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54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Coleta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de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citopatológico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de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colo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uterino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2187</w:t>
            </w:r>
          </w:p>
        </w:tc>
      </w:tr>
      <w:tr>
        <w:trPr>
          <w:trHeight w:val="254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Cuidado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de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estomas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spacing w:val="-8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8"/>
                <w:w w:val="95"/>
                <w:sz w:val="20"/>
              </w:rPr>
              <w:t>4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Curativo especial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1105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Drenagem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>de abscesso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3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Exame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do pé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diabético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1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Retirada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 de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cerume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231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Retirada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>de ponto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795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Adm</w:t>
            </w:r>
            <w:r>
              <w:rPr>
                <w:rFonts w:ascii="Liberation Sans;Liberation Sans" w:hAnsi="Liberation Sans;Liberation Sans"/>
                <w:color w:val="auto"/>
                <w:spacing w:val="-2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de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medicamentos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>endovenosa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716</w:t>
            </w:r>
          </w:p>
        </w:tc>
      </w:tr>
      <w:tr>
        <w:trPr>
          <w:trHeight w:val="254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cs="Liberation Sans;Liberation Sans"/>
                <w:color w:val="auto"/>
                <w:spacing w:val="-1"/>
                <w:sz w:val="20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Inalação/nebulização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42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Intramuscular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4463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Oral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180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Penicilina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tratamento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2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sífilis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72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cs="Liberation Sans;Liberation Sans"/>
                <w:color w:val="auto"/>
                <w:sz w:val="20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>Subcutânea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520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cs="Liberation Sans;Liberation Sans"/>
                <w:color w:val="auto"/>
                <w:spacing w:val="-1"/>
                <w:sz w:val="20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Tópica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27</w:t>
            </w:r>
          </w:p>
        </w:tc>
      </w:tr>
      <w:tr>
        <w:trPr>
          <w:trHeight w:val="254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6"/>
                <w:sz w:val="20"/>
              </w:rPr>
              <w:t>T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5"/>
                <w:sz w:val="20"/>
              </w:rPr>
              <w:t>e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6"/>
                <w:sz w:val="20"/>
              </w:rPr>
              <w:t>st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5"/>
                <w:sz w:val="20"/>
              </w:rPr>
              <w:t>e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rápido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de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1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gravidez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367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Para</w:t>
            </w:r>
            <w:r>
              <w:rPr>
                <w:rFonts w:ascii="Liberation Sans;Liberation Sans" w:hAnsi="Liberation Sans;Liberation Sans"/>
                <w:color w:val="auto"/>
                <w:spacing w:val="-3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HIV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824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Para hepatite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>C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1242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Para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Sífilis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845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Acupuntura com inserção de agulhas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61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Cirugia de unha (cantoplastia)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0</w:t>
            </w:r>
          </w:p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Sutura simples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3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Tamponamento de epistaxe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0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Triagem Oftalmológica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1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Para Hepatite B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0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Teste do pezinho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161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Remoção corpo estranho auditiva e nasal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0</w:t>
            </w:r>
          </w:p>
        </w:tc>
      </w:tr>
      <w:tr>
        <w:trPr>
          <w:trHeight w:val="256" w:hRule="exact"/>
        </w:trPr>
        <w:tc>
          <w:tcPr>
            <w:tcW w:w="72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4" w:before="17" w:after="0"/>
              <w:jc w:val="center"/>
              <w:rPr>
                <w:rFonts w:ascii="Comic Sans MS;Comic Sans MS" w:hAnsi="Comic Sans MS;Comic Sans MS"/>
                <w:b/>
                <w:b/>
                <w:color w:val="auto"/>
                <w:spacing w:val="-1"/>
                <w:sz w:val="20"/>
              </w:rPr>
            </w:pPr>
            <w:r>
              <w:rPr>
                <w:rFonts w:ascii="Comic Sans MS;Comic Sans MS" w:hAnsi="Comic Sans MS;Comic Sans MS"/>
                <w:b/>
                <w:color w:val="auto"/>
                <w:spacing w:val="-1"/>
                <w:sz w:val="20"/>
              </w:rPr>
              <w:t>Consolidado</w:t>
            </w:r>
          </w:p>
        </w:tc>
      </w:tr>
      <w:tr>
        <w:trPr>
          <w:trHeight w:val="50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4" w:before="38" w:after="0"/>
              <w:ind w:left="19" w:right="369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Atendimento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Atenção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Básica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(consulta</w:t>
            </w:r>
            <w:r>
              <w:rPr>
                <w:rFonts w:cs="Times New Roman" w:ascii="Times New Roman" w:hAnsi="Times New Roman"/>
                <w:b/>
                <w:color w:val="auto"/>
                <w:spacing w:val="35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médica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profissional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nível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superior)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96345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/>
                <w:b/>
                <w:b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b/>
                <w:color w:val="auto"/>
                <w:spacing w:val="-1"/>
                <w:sz w:val="20"/>
              </w:rPr>
              <w:t>Procedimentos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91458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Testes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z w:val="20"/>
              </w:rPr>
              <w:t>e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administração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medicamentos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9459</w:t>
            </w:r>
          </w:p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r>
          </w:p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6.6.  SAÚDE BUCAL ATENÇÃO BÁSICA – E-SUS – ESF – 3º QUADRIMESTRE DE 2023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508635</wp:posOffset>
            </wp:positionH>
            <wp:positionV relativeFrom="paragraph">
              <wp:posOffset>127000</wp:posOffset>
            </wp:positionV>
            <wp:extent cx="5168900" cy="7085330"/>
            <wp:effectExtent l="0" t="0" r="0" b="0"/>
            <wp:wrapSquare wrapText="largest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708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6.7 – ASSISTÊNCIA FARMACÊUTICA – PRODUÇÃO 2º QUADRIMESTRE – 2023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tbl>
      <w:tblPr>
        <w:tblW w:w="90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002"/>
        <w:gridCol w:w="1581"/>
        <w:gridCol w:w="1791"/>
        <w:gridCol w:w="1850"/>
      </w:tblGrid>
      <w:tr>
        <w:trPr>
          <w:trHeight w:val="294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44"/>
                <w:szCs w:val="4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44"/>
                <w:szCs w:val="44"/>
                <w:lang w:val="pt-BR" w:eastAsia="en-US" w:bidi="ar-SA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Farmácia central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Farmácia Zona Leste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Farmácia Zona oeste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Farmácia Zona sul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Janeiro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12648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2641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1697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4605</w:t>
            </w:r>
          </w:p>
        </w:tc>
      </w:tr>
      <w:tr>
        <w:trPr>
          <w:trHeight w:val="294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Fevereiro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12385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2344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1763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4635</w:t>
            </w:r>
          </w:p>
        </w:tc>
      </w:tr>
      <w:tr>
        <w:trPr>
          <w:trHeight w:val="294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Março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15275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3289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2295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6411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Abril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12457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2948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1832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5350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TOTAL 1°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pt-BR" w:eastAsia="en-US" w:bidi="ar-SA"/>
              </w:rPr>
              <w:t>QUAD.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52.765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11.222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7.587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21.001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lang w:val="pt-BR" w:eastAsia="en-US" w:bidi="ar-SA"/>
              </w:rPr>
              <w:t>Maio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20.086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3.683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2.384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7113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lang w:val="pt-BR" w:eastAsia="en-US" w:bidi="ar-SA"/>
              </w:rPr>
              <w:t>Junho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17.615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4.180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6258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lang w:val="pt-BR" w:eastAsia="en-US" w:bidi="ar-SA"/>
              </w:rPr>
              <w:t>Julho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17.091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3.599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2.111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5465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lang w:val="pt-BR" w:eastAsia="en-US" w:bidi="ar-SA"/>
              </w:rPr>
              <w:t>Agosto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22.745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3.980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2.366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6534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TOTAL 2°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pt-BR" w:eastAsia="en-US" w:bidi="ar-SA"/>
              </w:rPr>
              <w:t>QUAD.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60.554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15.442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6861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25.370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TOTAL GERAL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113.319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26.664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46.371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7. DEMONSTRATIVO DO MONTANTE E FONTE DE RECURSOS APLICADOS NO PERÍODO</w:t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ab/>
        <w:t xml:space="preserve">Os dados sobre o montante e fonte dos recursos aplicados na área da saúde foram obtidos através do FNS – Fundo Nacional de Saúde, SIOPS - Sistema de Informações sobre Orçamento Público em Saúde e SONNER Sistemas. 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 xml:space="preserve">O orçamento destinado ao setor saúde, para o exercício de 2023, foi definido pela Lei Ordinária nº 9.548/2022,  que “estabelece proposta orçamentária, estimando a receita e fixando a despesa do Município de Poços de Caldas para o exercício de 2023”, correspondendo, inicialmente, ao valor de R$ 385.286.227,00 ( Trezentos e oitenta e cinco milhões e duzentos e oitenta e seis mil e duzentos e vinte e sete reais). </w:t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  <w:tab/>
        <w:t xml:space="preserve">A receita quadrimestral decorrente da transferência de recursos de outras esferas de governo para a saúde totalizou R$ 77.306.910,85. Destes, R$ 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>48.374.894,49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 xml:space="preserve"> foram oriundos do Governo Federal, R$ 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>27.742.016,36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 xml:space="preserve"> do Governo Estadual e R$ 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>1.190.000,00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 xml:space="preserve"> de Emendas Parlamentares. </w:t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Calibri" w:cs="Calibri" w:ascii="Arial" w:hAnsi="Arial"/>
          <w:color w:val="000000"/>
          <w:sz w:val="24"/>
          <w:szCs w:val="24"/>
          <w:shd w:fill="auto" w:val="clear"/>
        </w:rPr>
        <w:t xml:space="preserve">       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 xml:space="preserve">O investimento de recursos próprios em saúde no 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>3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>º Quadrimestre de 2023 foi de R$ 6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>0.428.276,11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 xml:space="preserve"> do total de impostos, transferências e outras receitas municipais.</w:t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cs="Calibri" w:ascii="Arial" w:hAnsi="Arial"/>
          <w:i/>
          <w:iCs/>
          <w:color w:val="000000"/>
          <w:sz w:val="24"/>
          <w:szCs w:val="24"/>
          <w:shd w:fill="auto" w:val="clear"/>
        </w:rPr>
        <w:t xml:space="preserve">O quadro apresenta os recursos financeiros, transferidos fundo a fundo pela </w:t>
      </w:r>
      <w:r>
        <w:rPr>
          <w:rFonts w:cs="Calibri" w:ascii="Arial" w:hAnsi="Arial"/>
          <w:b/>
          <w:i/>
          <w:iCs/>
          <w:color w:val="000000"/>
          <w:sz w:val="24"/>
          <w:szCs w:val="24"/>
          <w:shd w:fill="auto" w:val="clear"/>
        </w:rPr>
        <w:t>União e Estado</w:t>
      </w:r>
      <w:r>
        <w:rPr>
          <w:rFonts w:cs="Calibri" w:ascii="Arial" w:hAnsi="Arial"/>
          <w:i/>
          <w:iCs/>
          <w:color w:val="000000"/>
          <w:sz w:val="24"/>
          <w:szCs w:val="24"/>
          <w:shd w:fill="auto" w:val="clear"/>
        </w:rPr>
        <w:t>, discriminados por ações de custeio/investimento de financiamento do SUS.</w:t>
      </w:r>
    </w:p>
    <w:p>
      <w:pPr>
        <w:pStyle w:val="Normal"/>
        <w:spacing w:lineRule="atLeast" w:line="100" w:before="0" w:after="0"/>
        <w:jc w:val="both"/>
        <w:rPr>
          <w:color w:val="auto"/>
        </w:rPr>
      </w:pPr>
      <w:r>
        <w:rPr>
          <w:rFonts w:cs="Calibri" w:ascii="Calibri" w:hAnsi="Calibri"/>
          <w:color w:val="000000"/>
          <w:sz w:val="20"/>
          <w:szCs w:val="20"/>
          <w:shd w:fill="auto" w:val="clear"/>
        </w:rPr>
        <w:t xml:space="preserve">Quadro Recursos financeiros transferidos fundo a fundo pela União e Estado no </w:t>
      </w:r>
      <w:r>
        <w:rPr>
          <w:rFonts w:cs="Calibri" w:ascii="Calibri" w:hAnsi="Calibri"/>
          <w:color w:val="000000"/>
          <w:sz w:val="20"/>
          <w:szCs w:val="20"/>
          <w:shd w:fill="auto" w:val="clear"/>
        </w:rPr>
        <w:t xml:space="preserve">Terceiro </w:t>
      </w:r>
      <w:r>
        <w:rPr>
          <w:rFonts w:cs="Calibri" w:ascii="Calibri" w:hAnsi="Calibri"/>
          <w:color w:val="000000"/>
          <w:sz w:val="20"/>
          <w:szCs w:val="20"/>
          <w:shd w:fill="auto" w:val="clear"/>
        </w:rPr>
        <w:t xml:space="preserve">Quadrimestre/2023 -  </w:t>
      </w:r>
      <w:r>
        <w:rPr>
          <w:rFonts w:cs="Calibri" w:ascii="Calibri" w:hAnsi="Calibri"/>
          <w:color w:val="000000"/>
          <w:sz w:val="20"/>
          <w:szCs w:val="20"/>
          <w:shd w:fill="FFFFFF" w:val="clear"/>
        </w:rPr>
        <w:t xml:space="preserve">Portaria N.3.992/GM/2017. </w:t>
      </w:r>
    </w:p>
    <w:tbl>
      <w:tblPr>
        <w:tblW w:w="964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2"/>
        <w:gridCol w:w="5286"/>
      </w:tblGrid>
      <w:tr>
        <w:trPr/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b/>
                <w:b/>
                <w:bCs/>
                <w:color w:val="auto"/>
                <w:shd w:fill="auto" w:val="clear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auto" w:val="clear"/>
              </w:rPr>
              <w:t>AÇÕES DE CUSTEIO / INVESTIMENTO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b/>
                <w:b/>
                <w:bCs/>
                <w:color w:val="auto"/>
                <w:shd w:fill="auto" w:val="clear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auto" w:val="clear"/>
              </w:rPr>
              <w:t xml:space="preserve">VALOR TRANSFERIDO 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ATENÇÃO BÁSICA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 xml:space="preserve">R$            </w:t>
            </w:r>
            <w:r>
              <w:rPr>
                <w:rFonts w:cs="Calibri" w:ascii="Arial" w:hAnsi="Arial"/>
                <w:color w:val="000000"/>
                <w:spacing w:val="0"/>
                <w:shd w:fill="auto" w:val="clear"/>
              </w:rPr>
              <w:t xml:space="preserve"> 7.142.624,24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MAC (MÉDIA E ALTA COMPLEXIDADE)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         31.411.248,87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ASSISTÊNCIA FARMACÊUTICA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 xml:space="preserve">R$    329.214,08  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VIGILÂNCIA EM SAÚDE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    1.222.368,75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GESTÃO DO SUS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   8.269.438,55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INVESTIMENTO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 xml:space="preserve">R$                           0 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TRANSF. ESTADUAIS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  27.742.016,36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Emenda Parlamentar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R$ 1.190.000,00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b/>
                <w:b/>
                <w:bCs/>
                <w:color w:val="auto"/>
                <w:shd w:fill="auto" w:val="clear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auto" w:val="clear"/>
              </w:rPr>
              <w:t>SUB TOTAL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b/>
                <w:b/>
                <w:bCs/>
                <w:color w:val="auto"/>
                <w:shd w:fill="auto" w:val="clear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auto" w:val="clear"/>
              </w:rPr>
              <w:t xml:space="preserve">R$        </w:t>
            </w:r>
            <w:r>
              <w:rPr>
                <w:rFonts w:cs="Calibri" w:ascii="Arial" w:hAnsi="Arial"/>
                <w:b/>
                <w:bCs/>
                <w:color w:val="000000"/>
                <w:spacing w:val="0"/>
                <w:shd w:fill="auto" w:val="clear"/>
              </w:rPr>
              <w:t>49.564.894,49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b/>
                <w:b/>
                <w:bCs/>
                <w:color w:val="auto"/>
                <w:shd w:fill="auto" w:val="clear"/>
              </w:rPr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Calibri" w:hAnsi="Calibri" w:eastAsia="Calibri" w:cs="Calibri"/>
          <w:color w:val="auto"/>
          <w:shd w:fill="auto" w:val="clear"/>
        </w:rPr>
      </w:pPr>
      <w:r>
        <w:rPr>
          <w:rFonts w:eastAsia="Calibri" w:cs="Calibri" w:ascii="Calibri" w:hAnsi="Calibri"/>
          <w:color w:val="000000"/>
          <w:shd w:fill="auto" w:val="clear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ab/>
        <w:t xml:space="preserve">O total de receitas em saúde no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terceiro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 xml:space="preserve"> quadrimestre de 2023, foi de R$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FFFFFF" w:val="clear"/>
        </w:rPr>
        <w:t>49.564.894,49</w:t>
      </w:r>
    </w:p>
    <w:p>
      <w:pPr>
        <w:pStyle w:val="Normal"/>
        <w:spacing w:lineRule="auto" w:line="360" w:before="0" w:after="0"/>
        <w:jc w:val="both"/>
        <w:rPr>
          <w:color w:val="auto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ab/>
        <w:t xml:space="preserve">Despesas liquidadas no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 xml:space="preserve">terceiro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quadrimestre foi de R$ 1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33.876.651,45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>.</w:t>
      </w:r>
    </w:p>
    <w:p>
      <w:pPr>
        <w:pStyle w:val="Normal"/>
        <w:spacing w:lineRule="auto" w:line="360" w:before="0" w:after="0"/>
        <w:jc w:val="center"/>
        <w:rPr>
          <w:vanish/>
        </w:rPr>
      </w:pPr>
      <w:r>
        <w:rPr/>
      </w:r>
      <w:bookmarkStart w:id="0" w:name="_PictureBullets"/>
      <w:bookmarkStart w:id="1" w:name="_PictureBullets"/>
      <w:bookmarkEnd w:id="1"/>
    </w:p>
    <w:sectPr>
      <w:headerReference w:type="default" r:id="rId21"/>
      <w:headerReference w:type="first" r:id="rId22"/>
      <w:footerReference w:type="default" r:id="rId23"/>
      <w:footerReference w:type="first" r:id="rId24"/>
      <w:type w:val="nextPage"/>
      <w:pgSz w:w="11906" w:h="16838"/>
      <w:pgMar w:left="840" w:right="1121" w:gutter="0" w:header="915" w:top="1290" w:footer="1135" w:bottom="1305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ngal">
    <w:charset w:val="00"/>
    <w:family w:val="roman"/>
    <w:pitch w:val="variable"/>
  </w:font>
  <w:font w:name="Tahoma">
    <w:charset w:val="00"/>
    <w:family w:val="roman"/>
    <w:pitch w:val="variable"/>
  </w:font>
  <w:font w:name="Lucida Sans Unicod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Arial Black"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Comic Sans MS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Symbol" w:hAnsi="Symbol" w:cs="OpenSymbol;Arial Unicode MS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  <w:sz w:val="24"/>
      <w:szCs w:val="24"/>
    </w:rPr>
  </w:style>
  <w:style w:type="character" w:styleId="WW8Num3z1">
    <w:name w:val="WW8Num3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b w:val="false"/>
      <w:bCs w:val="false"/>
    </w:rPr>
  </w:style>
  <w:style w:type="character" w:styleId="WW8Num5z1">
    <w:name w:val="WW8Num5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6z0">
    <w:name w:val="WW8Num6z0"/>
    <w:qFormat/>
    <w:rPr>
      <w:rFonts w:ascii="Wingdings" w:hAnsi="Wingdings" w:cs="Wingdings"/>
      <w:sz w:val="24"/>
      <w:szCs w:val="24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7z0">
    <w:name w:val="WW8Num7z0"/>
    <w:qFormat/>
    <w:rPr>
      <w:rFonts w:cs="Bookman Old Style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9z0">
    <w:name w:val="WW8Num9z0"/>
    <w:qFormat/>
    <w:rPr>
      <w:rFonts w:ascii="Symbol" w:hAnsi="Symbol" w:cs="OpenSymbol;Arial Unicode MS"/>
      <w:b w:val="false"/>
      <w:bCs w:val="false"/>
    </w:rPr>
  </w:style>
  <w:style w:type="character" w:styleId="WW8Num9z1">
    <w:name w:val="WW8Num9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OpenSymbol;Arial Unicode MS"/>
      <w:b w:val="false"/>
      <w:bCs w:val="false"/>
    </w:rPr>
  </w:style>
  <w:style w:type="character" w:styleId="WW8Num11z1">
    <w:name w:val="WW8Num11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2z0">
    <w:name w:val="WW8Num12z0"/>
    <w:qFormat/>
    <w:rPr>
      <w:rFonts w:ascii="Symbol" w:hAnsi="Symbol" w:cs="OpenSymbol;Arial Unicode MS"/>
      <w:b w:val="false"/>
      <w:bCs w:val="false"/>
    </w:rPr>
  </w:style>
  <w:style w:type="character" w:styleId="WW8Num12z1">
    <w:name w:val="WW8Num12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Symbol" w:hAnsi="Symbol" w:cs="OpenSymbol;Arial Unicode MS"/>
      <w:b w:val="false"/>
      <w:bCs w:val="false"/>
    </w:rPr>
  </w:style>
  <w:style w:type="character" w:styleId="WW8Num14z1">
    <w:name w:val="WW8Num14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5z0">
    <w:name w:val="WW8Num15z0"/>
    <w:qFormat/>
    <w:rPr>
      <w:rFonts w:ascii="Symbol" w:hAnsi="Symbol" w:cs="OpenSymbol;Arial Unicode MS"/>
      <w:b w:val="false"/>
      <w:bCs w:val="false"/>
    </w:rPr>
  </w:style>
  <w:style w:type="character" w:styleId="WW8Num15z1">
    <w:name w:val="WW8Num15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OpenSymbol;Arial Unicode MS" w:hAnsi="OpenSymbol;Arial Unicode MS" w:cs="OpenSymbol;Arial Unicode MS"/>
    </w:rPr>
  </w:style>
  <w:style w:type="character" w:styleId="WW8Num17z0">
    <w:name w:val="WW8Num17z0"/>
    <w:qFormat/>
    <w:rPr>
      <w:rFonts w:ascii="Symbol" w:hAnsi="Symbol" w:cs="OpenSymbol;Arial Unicode MS"/>
      <w:b w:val="false"/>
      <w:bCs w:val="false"/>
    </w:rPr>
  </w:style>
  <w:style w:type="character" w:styleId="WW8Num17z1">
    <w:name w:val="WW8Num17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8z0">
    <w:name w:val="WW8Num18z0"/>
    <w:qFormat/>
    <w:rPr>
      <w:rFonts w:ascii="Symbol" w:hAnsi="Symbol" w:cs="OpenSymbol;Arial Unicode MS"/>
      <w:b w:val="false"/>
      <w:bCs w:val="false"/>
    </w:rPr>
  </w:style>
  <w:style w:type="character" w:styleId="WW8Num18z1">
    <w:name w:val="WW8Num18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9z0">
    <w:name w:val="WW8Num19z0"/>
    <w:qFormat/>
    <w:rPr>
      <w:rFonts w:ascii="Symbol" w:hAnsi="Symbol" w:cs="OpenSymbol;Arial Unicode MS"/>
      <w:b w:val="false"/>
      <w:bCs w:val="false"/>
    </w:rPr>
  </w:style>
  <w:style w:type="character" w:styleId="WW8Num19z1">
    <w:name w:val="WW8Num19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Symbol" w:hAnsi="Symbol" w:cs="OpenSymbol;Arial Unicode MS"/>
      <w:b w:val="false"/>
      <w:bCs w:val="false"/>
    </w:rPr>
  </w:style>
  <w:style w:type="character" w:styleId="WW8Num21z1">
    <w:name w:val="WW8Num21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2z0">
    <w:name w:val="WW8Num22z0"/>
    <w:qFormat/>
    <w:rPr>
      <w:rFonts w:ascii="Symbol" w:hAnsi="Symbol" w:cs="OpenSymbol;Arial Unicode MS"/>
      <w:b w:val="false"/>
      <w:bCs w:val="false"/>
    </w:rPr>
  </w:style>
  <w:style w:type="character" w:styleId="WW8Num22z1">
    <w:name w:val="WW8Num22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3z0">
    <w:name w:val="WW8Num23z0"/>
    <w:qFormat/>
    <w:rPr>
      <w:rFonts w:ascii="Symbol" w:hAnsi="Symbol" w:cs="OpenSymbol;Arial Unicode MS"/>
      <w:b w:val="false"/>
      <w:bCs w:val="false"/>
    </w:rPr>
  </w:style>
  <w:style w:type="character" w:styleId="WW8Num23z1">
    <w:name w:val="WW8Num23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4z0">
    <w:name w:val="WW8Num24z0"/>
    <w:qFormat/>
    <w:rPr>
      <w:rFonts w:ascii="Symbol" w:hAnsi="Symbol" w:cs="OpenSymbol;Arial Unicode MS"/>
      <w:b w:val="false"/>
      <w:bCs w:val="false"/>
    </w:rPr>
  </w:style>
  <w:style w:type="character" w:styleId="WW8Num24z1">
    <w:name w:val="WW8Num24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5z0">
    <w:name w:val="WW8Num25z0"/>
    <w:qFormat/>
    <w:rPr>
      <w:rFonts w:ascii="Symbol" w:hAnsi="Symbol" w:cs="OpenSymbol;Arial Unicode MS"/>
      <w:b w:val="false"/>
      <w:bCs w:val="false"/>
    </w:rPr>
  </w:style>
  <w:style w:type="character" w:styleId="WW8Num25z1">
    <w:name w:val="WW8Num25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6z0">
    <w:name w:val="WW8Num26z0"/>
    <w:qFormat/>
    <w:rPr>
      <w:rFonts w:ascii="Symbol" w:hAnsi="Symbol" w:cs="OpenSymbol;Arial Unicode MS"/>
      <w:b w:val="false"/>
      <w:bCs w:val="false"/>
    </w:rPr>
  </w:style>
  <w:style w:type="character" w:styleId="WW8Num26z1">
    <w:name w:val="WW8Num26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7z0">
    <w:name w:val="WW8Num27z0"/>
    <w:qFormat/>
    <w:rPr>
      <w:rFonts w:ascii="Symbol" w:hAnsi="Symbol" w:cs="OpenSymbol;Arial Unicode MS"/>
      <w:b w:val="false"/>
      <w:bCs w:val="false"/>
    </w:rPr>
  </w:style>
  <w:style w:type="character" w:styleId="WW8Num27z1">
    <w:name w:val="WW8Num27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8z0">
    <w:name w:val="WW8Num28z0"/>
    <w:qFormat/>
    <w:rPr>
      <w:rFonts w:ascii="Symbol" w:hAnsi="Symbol" w:cs="OpenSymbol;Arial Unicode MS"/>
      <w:b w:val="false"/>
      <w:bCs w:val="false"/>
    </w:rPr>
  </w:style>
  <w:style w:type="character" w:styleId="WW8Num28z1">
    <w:name w:val="WW8Num28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9z0">
    <w:name w:val="WW8Num29z0"/>
    <w:qFormat/>
    <w:rPr>
      <w:rFonts w:ascii="Symbol" w:hAnsi="Symbol" w:cs="OpenSymbol;Arial Unicode MS"/>
      <w:b w:val="false"/>
      <w:bCs w:val="false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29z1">
    <w:name w:val="WW8Num29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30z0">
    <w:name w:val="WW8Num30z0"/>
    <w:qFormat/>
    <w:rPr>
      <w:rFonts w:ascii="Symbol" w:hAnsi="Symbol" w:cs="OpenSymbol;Arial Unicode MS"/>
      <w:b w:val="false"/>
      <w:bCs w:val="false"/>
    </w:rPr>
  </w:style>
  <w:style w:type="character" w:styleId="Marcadores">
    <w:name w:val="Marcadores"/>
    <w:qFormat/>
    <w:rPr/>
  </w:style>
  <w:style w:type="character" w:styleId="WW8Num20z3">
    <w:name w:val="WW8Num20z3"/>
    <w:qFormat/>
    <w:rPr>
      <w:rFonts w:ascii="Wingdings 2" w:hAnsi="Wingdings 2" w:cs="OpenSymbol;Arial Unicode MS"/>
    </w:rPr>
  </w:style>
  <w:style w:type="character" w:styleId="WW8Num16z3">
    <w:name w:val="WW8Num16z3"/>
    <w:qFormat/>
    <w:rPr>
      <w:rFonts w:ascii="Wingdings 2" w:hAnsi="Wingdings 2" w:cs="OpenSymbol;Arial Unicode MS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Nfaseforte">
    <w:name w:val="Ênfase forte"/>
    <w:qFormat/>
    <w:rPr>
      <w:b/>
      <w:bCs/>
    </w:rPr>
  </w:style>
  <w:style w:type="character" w:styleId="Fontepargpadro">
    <w:name w:val="Fonte parág. padrão"/>
    <w:qFormat/>
    <w:rPr/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Padro"/>
    <w:pPr>
      <w:spacing w:lineRule="atLeast" w:line="200" w:before="0" w:after="0"/>
      <w:ind w:left="0" w:right="0" w:hanging="0"/>
      <w:jc w:val="center"/>
    </w:pPr>
    <w:rPr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Padro">
    <w:name w:val="Padrão"/>
    <w:qFormat/>
    <w:pPr>
      <w:widowControl/>
      <w:suppressAutoHyphens w:val="true"/>
      <w:overflowPunct w:val="fals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pt-BR" w:eastAsia="zh-CN" w:bidi="hi-IN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color w:val="000000"/>
      <w:lang w:eastAsia="pt-BR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PargrafodaLista">
    <w:name w:val="Parágrafo da Lista"/>
    <w:basedOn w:val="Normal"/>
    <w:qFormat/>
    <w:pPr>
      <w:spacing w:before="0" w:after="160"/>
      <w:ind w:left="720" w:right="0" w:hanging="0"/>
    </w:pPr>
    <w:rPr/>
  </w:style>
  <w:style w:type="paragraph" w:styleId="Objetocomseta">
    <w:name w:val="Objeto com seta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comsombra">
    <w:name w:val="Objeto com sombra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sempreenchimento">
    <w:name w:val="Objeto sem preenchimento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sempreenchimentonemlinha">
    <w:name w:val="Objeto sem preenchimento nem linha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Corpodotextojustificado">
    <w:name w:val="Corpo do texto justificado"/>
    <w:basedOn w:val="Padro"/>
    <w:qFormat/>
    <w:pPr>
      <w:spacing w:lineRule="atLeast" w:line="200" w:before="0" w:after="0"/>
      <w:ind w:left="0" w:right="0" w:hanging="0"/>
      <w:jc w:val="left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Recuodaprimeiralinha">
    <w:name w:val="Recuo da primeira linha"/>
    <w:basedOn w:val="Padro"/>
    <w:qFormat/>
    <w:pPr>
      <w:spacing w:lineRule="atLeast" w:line="200" w:before="0" w:after="0"/>
      <w:ind w:left="0" w:right="0" w:firstLine="34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tulo11">
    <w:name w:val="Título1"/>
    <w:basedOn w:val="Padro"/>
    <w:qFormat/>
    <w:pPr>
      <w:spacing w:lineRule="atLeast" w:line="200" w:before="0" w:after="0"/>
      <w:ind w:left="0" w:right="0" w:hanging="0"/>
      <w:jc w:val="center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tulo21">
    <w:name w:val="Título2"/>
    <w:basedOn w:val="Padro"/>
    <w:qFormat/>
    <w:pPr>
      <w:spacing w:lineRule="atLeast" w:line="200" w:before="57" w:after="57"/>
      <w:ind w:left="0" w:right="113" w:hanging="0"/>
      <w:jc w:val="center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inhadecota">
    <w:name w:val="Linha de cota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PadroLTGliederung1">
    <w:name w:val="Padrão~LT~Gliederung 1"/>
    <w:qFormat/>
    <w:pPr>
      <w:widowControl/>
      <w:suppressAutoHyphens w:val="true"/>
      <w:overflowPunct w:val="false"/>
      <w:bidi w:val="0"/>
      <w:spacing w:before="0" w:after="283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PadroLTGliederung2">
    <w:name w:val="Padrão~LT~Gliederung 2"/>
    <w:basedOn w:val="PadroLTGliederung1"/>
    <w:qFormat/>
    <w:pPr>
      <w:spacing w:before="0" w:after="22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PadroLTGliederung3">
    <w:name w:val="Padrão~LT~Gliederung 3"/>
    <w:basedOn w:val="PadroLTGliederung2"/>
    <w:qFormat/>
    <w:pPr>
      <w:spacing w:before="0" w:after="17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PadroLTGliederung4">
    <w:name w:val="Padrão~LT~Gliederung 4"/>
    <w:basedOn w:val="PadroLTGliederung3"/>
    <w:qFormat/>
    <w:pPr>
      <w:spacing w:before="0" w:after="113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5">
    <w:name w:val="Padrão~LT~Gliederung 5"/>
    <w:basedOn w:val="PadroLTGliederung4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6">
    <w:name w:val="Padrão~LT~Gliederung 6"/>
    <w:basedOn w:val="PadroLTGliederung5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7">
    <w:name w:val="Padrão~LT~Gliederung 7"/>
    <w:basedOn w:val="PadroLTGliederung6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8">
    <w:name w:val="Padrão~LT~Gliederung 8"/>
    <w:basedOn w:val="PadroLTGliederung7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9">
    <w:name w:val="Padrão~LT~Gliederung 9"/>
    <w:basedOn w:val="PadroLTGliederung8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Titel">
    <w:name w:val="Padrão~LT~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pt-BR" w:eastAsia="zh-CN" w:bidi="hi-IN"/>
    </w:rPr>
  </w:style>
  <w:style w:type="paragraph" w:styleId="PadroLTUntertitel">
    <w:name w:val="Padrão~LT~Untertitel"/>
    <w:qFormat/>
    <w:pPr>
      <w:widowControl/>
      <w:suppressAutoHyphens w:val="true"/>
      <w:overflowPunct w:val="false"/>
      <w:bidi w:val="0"/>
      <w:spacing w:before="0" w:after="0"/>
      <w:ind w:left="0" w:right="0" w:hanging="0"/>
      <w:jc w:val="center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PadroLTNotizen">
    <w:name w:val="Padrão~LT~Notizen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PadroLTHintergrundobjekte">
    <w:name w:val="Padrão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PadroLTHintergrund">
    <w:name w:val="Padrão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;Arial"/>
      <w:color w:val="000000"/>
      <w:kern w:val="2"/>
      <w:sz w:val="36"/>
      <w:szCs w:val="24"/>
      <w:lang w:val="pt-B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Objetosdoplanodefundo">
    <w:name w:val="Objetos do plano de fund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Planodefundo">
    <w:name w:val="Plano de fund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Notas">
    <w:name w:val="Notas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Estruturadetpicos1">
    <w:name w:val="Estrutura de tópicos 1"/>
    <w:qFormat/>
    <w:pPr>
      <w:widowControl/>
      <w:suppressAutoHyphens w:val="true"/>
      <w:overflowPunct w:val="false"/>
      <w:bidi w:val="0"/>
      <w:spacing w:before="0" w:after="283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Estruturadetpicos2">
    <w:name w:val="Estrutura de tópicos 2"/>
    <w:basedOn w:val="Estruturadetpicos1"/>
    <w:qFormat/>
    <w:pPr>
      <w:spacing w:before="0" w:after="22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Estruturadetpicos3">
    <w:name w:val="Estrutura de tópicos 3"/>
    <w:basedOn w:val="Estruturadetpicos2"/>
    <w:qFormat/>
    <w:pPr>
      <w:spacing w:before="0" w:after="17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Estruturadetpicos4">
    <w:name w:val="Estrutura de tópicos 4"/>
    <w:basedOn w:val="Estruturadetpicos3"/>
    <w:qFormat/>
    <w:pPr>
      <w:spacing w:before="0" w:after="113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5">
    <w:name w:val="Estrutura de tópicos 5"/>
    <w:basedOn w:val="Estruturadetpicos4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6">
    <w:name w:val="Estrutura de tópicos 6"/>
    <w:basedOn w:val="Estruturadetpicos5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7">
    <w:name w:val="Estrutura de tópicos 7"/>
    <w:basedOn w:val="Estruturadetpicos6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8">
    <w:name w:val="Estrutura de tópicos 8"/>
    <w:basedOn w:val="Estruturadetpicos7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9">
    <w:name w:val="Estrutura de tópicos 9"/>
    <w:basedOn w:val="Estruturadetpicos8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WW8Num4z11">
    <w:name w:val="WW8Num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4z01">
    <w:name w:val="WW8Num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Smbolosdenumerao1">
    <w:name w:val="Símbolos de numeraçã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31">
    <w:name w:val="WW8Num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11">
    <w:name w:val="WW8Num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01">
    <w:name w:val="WW8Num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31">
    <w:name w:val="WW8Num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11">
    <w:name w:val="WW8Num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01">
    <w:name w:val="WW8Num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Marcas">
    <w:name w:val="Marca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21">
    <w:name w:val="WW8Num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11">
    <w:name w:val="WW8Num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01">
    <w:name w:val="WW8Num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21">
    <w:name w:val="WW8Num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11">
    <w:name w:val="WW8Num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01">
    <w:name w:val="WW8Num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LinkdaInternet1">
    <w:name w:val="Link da Interne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000080"/>
      <w:kern w:val="2"/>
      <w:sz w:val="24"/>
      <w:szCs w:val="24"/>
      <w:u w:val="single"/>
      <w:lang w:val="pt-BR" w:eastAsia="zh-CN" w:bidi="hi-IN"/>
    </w:rPr>
  </w:style>
  <w:style w:type="paragraph" w:styleId="WW8Num3z01">
    <w:name w:val="WW8Num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01">
    <w:name w:val="WW8Num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01">
    <w:name w:val="WW8Num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01">
    <w:name w:val="WW8Num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Nfaseforte1">
    <w:name w:val="Ênfase for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b/>
      <w:color w:val="auto"/>
      <w:kern w:val="2"/>
      <w:sz w:val="24"/>
      <w:szCs w:val="24"/>
      <w:lang w:val="pt-BR" w:eastAsia="zh-CN" w:bidi="hi-IN"/>
    </w:rPr>
  </w:style>
  <w:style w:type="paragraph" w:styleId="Nmerodepgina">
    <w:name w:val="Número de págin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ntepargpadro1">
    <w:name w:val="Fonte parág. padrã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">
    <w:name w:val="WW-Absatz-Standardschriftart1111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">
    <w:name w:val="WW-Absatz-Standardschriftart111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">
    <w:name w:val="WW-Absatz-Standardschriftart11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">
    <w:name w:val="WW-Absatz-Standardschriftart1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ntepargpadro2">
    <w:name w:val="Fonte parág. padrão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z21">
    <w:name w:val="WW8Num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">
    <w:name w:val="WW-Absatz-Standardschriftart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">
    <w:name w:val="WW-Absatz-Standardschriftart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">
    <w:name w:val="WW-Absatz-Standardschriftart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">
    <w:name w:val="WW-Absatz-Standardschriftart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">
    <w:name w:val="WW-Absatz-Standardschriftart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">
    <w:name w:val="WW-Absatz-Standardschriftart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">
    <w:name w:val="WW-Absatz-Standardschriftart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">
    <w:name w:val="WW-Absatz-Standardschriftart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">
    <w:name w:val="WW-Absatz-Standardschriftart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">
    <w:name w:val="WW-Absatz-Standardschriftart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">
    <w:name w:val="WW-Absatz-Standardschriftart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">
    <w:name w:val="WW-Absatz-Standardschriftart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">
    <w:name w:val="WW-Absatz-Standardschriftart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">
    <w:name w:val="WW-Absatz-Standardschriftart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">
    <w:name w:val="WW-Absatz-Standardschriftart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">
    <w:name w:val="WW-Absatz-Standardschriftart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">
    <w:name w:val="WW-Absatz-Standardschriftart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z11">
    <w:name w:val="WW8Num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">
    <w:name w:val="WW-Absatz-Standardschriftart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">
    <w:name w:val="WW-Absatz-Standardschriftart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">
    <w:name w:val="WW-Absatz-Standardschriftart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">
    <w:name w:val="WW-Absatz-Standardschriftart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">
    <w:name w:val="WW-Absatz-Standardschriftart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">
    <w:name w:val="WW-Absatz-Standardschriftart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">
    <w:name w:val="WW-Absatz-Standardschriftart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">
    <w:name w:val="WW-Absatz-Standardschriftart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">
    <w:name w:val="WW-Absatz-Standardschriftart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">
    <w:name w:val="WW-Absatz-Standardschriftart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">
    <w:name w:val="WW-Absatz-Standardschriftart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">
    <w:name w:val="WW-Absatz-Standardschriftart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">
    <w:name w:val="WW-Absatz-Standardschriftart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">
    <w:name w:val="WW-Absatz-Standardschriftart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">
    <w:name w:val="WW-Absatz-Standardschriftart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">
    <w:name w:val="WW-Absatz-Standardschriftart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">
    <w:name w:val="WW-Absatz-Standardschriftart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">
    <w:name w:val="WW-Absatz-Standardschriftart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">
    <w:name w:val="WW-Absatz-Standardschriftart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">
    <w:name w:val="WW-Absatz-Standardschriftart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">
    <w:name w:val="WW-Absatz-Standardschriftart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">
    <w:name w:val="WW-Absatz-Standardschriftart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">
    <w:name w:val="WW-Absatz-Standardschriftart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">
    <w:name w:val="WW-Absatz-Standardschriftart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">
    <w:name w:val="WW-Absatz-Standardschriftart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">
    <w:name w:val="WW-Absatz-Standardschriftar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AbsatzStandardschriftart">
    <w:name w:val="Absatz-Standardschriftar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ntepargpadro3">
    <w:name w:val="Fonte parág. padrã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2z2">
    <w:name w:val="WW8Num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2z11">
    <w:name w:val="WW8Num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2z01">
    <w:name w:val="WW8Num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1z11">
    <w:name w:val="WW8Num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1z01">
    <w:name w:val="WW8Num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2">
    <w:name w:val="WW8Num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0"/>
      <w:szCs w:val="24"/>
      <w:lang w:val="pt-BR" w:eastAsia="zh-CN" w:bidi="hi-IN"/>
    </w:rPr>
  </w:style>
  <w:style w:type="paragraph" w:styleId="WW8Num9z11">
    <w:name w:val="WW8Num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0"/>
      <w:szCs w:val="24"/>
      <w:lang w:val="pt-BR" w:eastAsia="zh-CN" w:bidi="hi-IN"/>
    </w:rPr>
  </w:style>
  <w:style w:type="paragraph" w:styleId="WW8Num9z01">
    <w:name w:val="WW8Num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0"/>
      <w:szCs w:val="24"/>
      <w:lang w:val="pt-BR" w:eastAsia="zh-CN" w:bidi="hi-IN"/>
    </w:rPr>
  </w:style>
  <w:style w:type="paragraph" w:styleId="WW8Num8z8">
    <w:name w:val="WW8Num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7">
    <w:name w:val="WW8Num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6">
    <w:name w:val="WW8Num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5">
    <w:name w:val="WW8Num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4">
    <w:name w:val="WW8Num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3">
    <w:name w:val="WW8Num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2">
    <w:name w:val="WW8Num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11">
    <w:name w:val="WW8Num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2">
    <w:name w:val="WW8Num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11">
    <w:name w:val="WW8Num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2">
    <w:name w:val="WW8Num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11">
    <w:name w:val="WW8Num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4z2">
    <w:name w:val="WW8Num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3z11">
    <w:name w:val="WW8Num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8">
    <w:name w:val="WW8Num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7">
    <w:name w:val="WW8Num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6">
    <w:name w:val="WW8Num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5">
    <w:name w:val="WW8Num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4">
    <w:name w:val="WW8Num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3">
    <w:name w:val="WW8Num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2">
    <w:name w:val="WW8Num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11">
    <w:name w:val="WW8Num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01">
    <w:name w:val="WW8Num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z01">
    <w:name w:val="WW8Num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qFormat/>
    <w:pPr>
      <w:widowControl/>
      <w:suppressAutoHyphens w:val="true"/>
      <w:overflowPunct w:val="false"/>
      <w:bidi w:val="0"/>
      <w:spacing w:before="176" w:after="210"/>
      <w:jc w:val="left"/>
    </w:pPr>
    <w:rPr>
      <w:rFonts w:ascii="Times New Roman" w:hAnsi="Times New Roman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Contedodetabela">
    <w:name w:val="Conteúdo de tabel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Contedodequadro">
    <w:name w:val="Conteúdo de quadro"/>
    <w:qFormat/>
    <w:pPr>
      <w:widowControl/>
      <w:suppressAutoHyphens w:val="true"/>
      <w:overflowPunct w:val="false"/>
      <w:bidi w:val="0"/>
      <w:spacing w:before="0" w:after="212"/>
      <w:jc w:val="left"/>
    </w:pPr>
    <w:rPr>
      <w:rFonts w:ascii="Times New Roman" w:hAnsi="Times New Roman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egenda1">
    <w:name w:val="Legenda1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Tahoma" w:hAnsi="Tahoma" w:eastAsia="Tahoma" w:cs="Liberation Sans;Arial"/>
      <w:i/>
      <w:color w:val="000000"/>
      <w:kern w:val="2"/>
      <w:sz w:val="24"/>
      <w:szCs w:val="24"/>
      <w:lang w:val="pt-BR" w:eastAsia="zh-CN" w:bidi="hi-IN"/>
    </w:rPr>
  </w:style>
  <w:style w:type="paragraph" w:styleId="Captulo">
    <w:name w:val="Capítulo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Tahoma" w:hAnsi="Tahoma" w:eastAsia="Tahoma" w:cs="Liberation Sans;Arial"/>
      <w:color w:val="000000"/>
      <w:kern w:val="2"/>
      <w:sz w:val="28"/>
      <w:szCs w:val="24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ListLabel2100">
    <w:name w:val="ListLabel 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ListLabel1100">
    <w:name w:val="ListLabel 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CharLFO21LVL9">
    <w:name w:val="WW_CharLFO21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8">
    <w:name w:val="WW_CharLFO21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7">
    <w:name w:val="WW_CharLFO21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6">
    <w:name w:val="WW_CharLFO21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5">
    <w:name w:val="WW_CharLFO21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4">
    <w:name w:val="WW_CharLFO21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3">
    <w:name w:val="WW_CharLFO21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2">
    <w:name w:val="WW_CharLFO21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1">
    <w:name w:val="WW_CharLFO21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9">
    <w:name w:val="WW_CharLFO20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8">
    <w:name w:val="WW_CharLFO20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7">
    <w:name w:val="WW_CharLFO20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6">
    <w:name w:val="WW_CharLFO20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5">
    <w:name w:val="WW_CharLFO20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4">
    <w:name w:val="WW_CharLFO20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3">
    <w:name w:val="WW_CharLFO20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2">
    <w:name w:val="WW_CharLFO20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1">
    <w:name w:val="WW_CharLFO20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9">
    <w:name w:val="WW_CharLFO19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8">
    <w:name w:val="WW_CharLFO19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7">
    <w:name w:val="WW_CharLFO19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6">
    <w:name w:val="WW_CharLFO19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5">
    <w:name w:val="WW_CharLFO19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4">
    <w:name w:val="WW_CharLFO19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3">
    <w:name w:val="WW_CharLFO19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2">
    <w:name w:val="WW_CharLFO19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1">
    <w:name w:val="WW_CharLFO19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9">
    <w:name w:val="WW_CharLFO18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8">
    <w:name w:val="WW_CharLFO18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7">
    <w:name w:val="WW_CharLFO18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6">
    <w:name w:val="WW_CharLFO18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5">
    <w:name w:val="WW_CharLFO18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4">
    <w:name w:val="WW_CharLFO18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3">
    <w:name w:val="WW_CharLFO18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2">
    <w:name w:val="WW_CharLFO18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1">
    <w:name w:val="WW_CharLFO18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9">
    <w:name w:val="WW_CharLFO17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8">
    <w:name w:val="WW_CharLFO17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7">
    <w:name w:val="WW_CharLFO17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6">
    <w:name w:val="WW_CharLFO17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5">
    <w:name w:val="WW_CharLFO17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4">
    <w:name w:val="WW_CharLFO17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3">
    <w:name w:val="WW_CharLFO17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2">
    <w:name w:val="WW_CharLFO17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1">
    <w:name w:val="WW_CharLFO17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9">
    <w:name w:val="WW_CharLFO16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8">
    <w:name w:val="WW_CharLFO16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7">
    <w:name w:val="WW_CharLFO16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6">
    <w:name w:val="WW_CharLFO16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5">
    <w:name w:val="WW_CharLFO16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4">
    <w:name w:val="WW_CharLFO16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3">
    <w:name w:val="WW_CharLFO16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2">
    <w:name w:val="WW_CharLFO16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1">
    <w:name w:val="WW_CharLFO16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9">
    <w:name w:val="WW_CharLFO15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8">
    <w:name w:val="WW_CharLFO15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7">
    <w:name w:val="WW_CharLFO15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6">
    <w:name w:val="WW_CharLFO15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5">
    <w:name w:val="WW_CharLFO15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4">
    <w:name w:val="WW_CharLFO15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3">
    <w:name w:val="WW_CharLFO15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2">
    <w:name w:val="WW_CharLFO15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1">
    <w:name w:val="WW_CharLFO15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9">
    <w:name w:val="WW_CharLFO14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8">
    <w:name w:val="WW_CharLFO14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7">
    <w:name w:val="WW_CharLFO14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6">
    <w:name w:val="WW_CharLFO14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5">
    <w:name w:val="WW_CharLFO14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4">
    <w:name w:val="WW_CharLFO14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3">
    <w:name w:val="WW_CharLFO14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2">
    <w:name w:val="WW_CharLFO14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1">
    <w:name w:val="WW_CharLFO14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9">
    <w:name w:val="WW_CharLFO13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8">
    <w:name w:val="WW_CharLFO13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7">
    <w:name w:val="WW_CharLFO13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6">
    <w:name w:val="WW_CharLFO13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5">
    <w:name w:val="WW_CharLFO13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4">
    <w:name w:val="WW_CharLFO13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3">
    <w:name w:val="WW_CharLFO13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2">
    <w:name w:val="WW_CharLFO13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1">
    <w:name w:val="WW_CharLFO13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9">
    <w:name w:val="WW_CharLFO12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8">
    <w:name w:val="WW_CharLFO12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7">
    <w:name w:val="WW_CharLFO12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6">
    <w:name w:val="WW_CharLFO12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5">
    <w:name w:val="WW_CharLFO12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4">
    <w:name w:val="WW_CharLFO12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3">
    <w:name w:val="WW_CharLFO12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2">
    <w:name w:val="WW_CharLFO12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1">
    <w:name w:val="WW_CharLFO12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9">
    <w:name w:val="WW_CharLFO11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8">
    <w:name w:val="WW_CharLFO11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7">
    <w:name w:val="WW_CharLFO11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6">
    <w:name w:val="WW_CharLFO11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5">
    <w:name w:val="WW_CharLFO11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4">
    <w:name w:val="WW_CharLFO11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3">
    <w:name w:val="WW_CharLFO11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2">
    <w:name w:val="WW_CharLFO11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1">
    <w:name w:val="WW_CharLFO11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9">
    <w:name w:val="WW_CharLFO10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8">
    <w:name w:val="WW_CharLFO10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7">
    <w:name w:val="WW_CharLFO10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6">
    <w:name w:val="WW_CharLFO10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5">
    <w:name w:val="WW_CharLFO10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4">
    <w:name w:val="WW_CharLFO10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3">
    <w:name w:val="WW_CharLFO10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2">
    <w:name w:val="WW_CharLFO10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1">
    <w:name w:val="WW_CharLFO10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9">
    <w:name w:val="WW_CharLFO9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8">
    <w:name w:val="WW_CharLFO9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7">
    <w:name w:val="WW_CharLFO9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6">
    <w:name w:val="WW_CharLFO9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5">
    <w:name w:val="WW_CharLFO9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4">
    <w:name w:val="WW_CharLFO9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3">
    <w:name w:val="WW_CharLFO9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2">
    <w:name w:val="WW_CharLFO9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1">
    <w:name w:val="WW_CharLFO9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9">
    <w:name w:val="WW_CharLFO8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8">
    <w:name w:val="WW_CharLFO8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7">
    <w:name w:val="WW_CharLFO8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6">
    <w:name w:val="WW_CharLFO8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5">
    <w:name w:val="WW_CharLFO8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4">
    <w:name w:val="WW_CharLFO8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3">
    <w:name w:val="WW_CharLFO8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2">
    <w:name w:val="WW_CharLFO8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1">
    <w:name w:val="WW_CharLFO8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9">
    <w:name w:val="WW_CharLFO7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8">
    <w:name w:val="WW_CharLFO7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7">
    <w:name w:val="WW_CharLFO7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6">
    <w:name w:val="WW_CharLFO7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5">
    <w:name w:val="WW_CharLFO7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4">
    <w:name w:val="WW_CharLFO7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3">
    <w:name w:val="WW_CharLFO7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2">
    <w:name w:val="WW_CharLFO7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1">
    <w:name w:val="WW_CharLFO7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9">
    <w:name w:val="WW_CharLFO6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8">
    <w:name w:val="WW_CharLFO6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7">
    <w:name w:val="WW_CharLFO6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6">
    <w:name w:val="WW_CharLFO6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5">
    <w:name w:val="WW_CharLFO6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4">
    <w:name w:val="WW_CharLFO6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3">
    <w:name w:val="WW_CharLFO6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2">
    <w:name w:val="WW_CharLFO6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1">
    <w:name w:val="WW_CharLFO6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9">
    <w:name w:val="WW_CharLFO5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8">
    <w:name w:val="WW_CharLFO5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7">
    <w:name w:val="WW_CharLFO5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6">
    <w:name w:val="WW_CharLFO5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5">
    <w:name w:val="WW_CharLFO5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4">
    <w:name w:val="WW_CharLFO5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3">
    <w:name w:val="WW_CharLFO5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2">
    <w:name w:val="WW_CharLFO5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1">
    <w:name w:val="WW_CharLFO5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9">
    <w:name w:val="WW_CharLFO4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8">
    <w:name w:val="WW_CharLFO4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7">
    <w:name w:val="WW_CharLFO4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6">
    <w:name w:val="WW_CharLFO4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5">
    <w:name w:val="WW_CharLFO4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4">
    <w:name w:val="WW_CharLFO4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3">
    <w:name w:val="WW_CharLFO4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2">
    <w:name w:val="WW_CharLFO4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1">
    <w:name w:val="WW_CharLFO4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91">
    <w:name w:val="WW_CharLFO2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81">
    <w:name w:val="WW_CharLFO2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71">
    <w:name w:val="WW_CharLFO2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61">
    <w:name w:val="WW_CharLFO2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51">
    <w:name w:val="WW_CharLFO2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41">
    <w:name w:val="WW_CharLFO2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31">
    <w:name w:val="WW_CharLFO2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21">
    <w:name w:val="WW_CharLFO2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11">
    <w:name w:val="WW_CharLFO2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91">
    <w:name w:val="WW_CharLFO1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81">
    <w:name w:val="WW_CharLFO1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71">
    <w:name w:val="WW_CharLFO1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61">
    <w:name w:val="WW_CharLFO1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51">
    <w:name w:val="WW_CharLFO1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41">
    <w:name w:val="WW_CharLFO1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31">
    <w:name w:val="WW_CharLFO1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21">
    <w:name w:val="WW_CharLFO1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11">
    <w:name w:val="WW_CharLFO1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NumberingSymbols">
    <w:name w:val="Numbering Symbol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Bullets">
    <w:name w:val="Bullet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76" w:before="0" w:after="0"/>
      <w:ind w:left="2240" w:right="0" w:hanging="0"/>
      <w:jc w:val="left"/>
    </w:pPr>
    <w:rPr>
      <w:rFonts w:ascii="Liberation Sans;Arial" w:hAnsi="Liberation Sans;Arial" w:eastAsia="Tahoma" w:cs="Liberation Sans;Arial"/>
      <w:color w:val="00000A"/>
      <w:kern w:val="2"/>
      <w:sz w:val="24"/>
      <w:szCs w:val="24"/>
      <w:lang w:val="pt-BR" w:eastAsia="zh-CN" w:bidi="hi-IN"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Timesnewromam">
    <w:name w:val="Times new romam"/>
    <w:qFormat/>
    <w:pPr>
      <w:widowControl/>
      <w:suppressAutoHyphens w:val="true"/>
      <w:overflowPunct w:val="false"/>
      <w:bidi w:val="0"/>
      <w:spacing w:lineRule="auto" w:line="276" w:before="0" w:after="0"/>
      <w:ind w:left="0" w:right="2168" w:hanging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9z3">
    <w:name w:val="WW8Num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1z2">
    <w:name w:val="WW8Num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3z01">
    <w:name w:val="WW8Num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4z01">
    <w:name w:val="WW8Num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5z01">
    <w:name w:val="WW8Num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7z01">
    <w:name w:val="WW8Num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8z01">
    <w:name w:val="WW8Num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9z01">
    <w:name w:val="WW8Num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9z11">
    <w:name w:val="WW8Num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9z3">
    <w:name w:val="WW8Num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1z01">
    <w:name w:val="WW8Num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2z01">
    <w:name w:val="WW8Num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3z01">
    <w:name w:val="WW8Num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4z01">
    <w:name w:val="WW8Num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5z01">
    <w:name w:val="WW8Num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6z01">
    <w:name w:val="WW8Num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6z11">
    <w:name w:val="WW8Num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6z3">
    <w:name w:val="WW8Num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7z01">
    <w:name w:val="WW8Num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8z01">
    <w:name w:val="WW8Num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9z01">
    <w:name w:val="WW8Num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9z11">
    <w:name w:val="WW8Num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9z3">
    <w:name w:val="WW8Num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0z01">
    <w:name w:val="WW8Num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1z0">
    <w:name w:val="WW8Num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2z0">
    <w:name w:val="WW8Num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2z1">
    <w:name w:val="WW8Num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2z2">
    <w:name w:val="WW8Num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3z0">
    <w:name w:val="WW8Num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4z0">
    <w:name w:val="WW8Num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1z3">
    <w:name w:val="WW8Num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3z11">
    <w:name w:val="WW8Num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3z2">
    <w:name w:val="WW8Num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4z11">
    <w:name w:val="WW8Num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4z2">
    <w:name w:val="WW8Num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4z3">
    <w:name w:val="WW8Num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5z11">
    <w:name w:val="WW8Num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7z11">
    <w:name w:val="WW8Num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8z11">
    <w:name w:val="WW8Num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8z2">
    <w:name w:val="WW8Num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0z2">
    <w:name w:val="WW8Num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2z11">
    <w:name w:val="WW8Num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2z2">
    <w:name w:val="WW8Num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3z11">
    <w:name w:val="WW8Num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3z2">
    <w:name w:val="WW8Num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4z11">
    <w:name w:val="WW8Num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4z2">
    <w:name w:val="WW8Num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5z11">
    <w:name w:val="WW8Num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5z3">
    <w:name w:val="WW8Num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6z2">
    <w:name w:val="WW8Num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7z11">
    <w:name w:val="WW8Num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7z2">
    <w:name w:val="WW8Num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8z11">
    <w:name w:val="WW8Num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8z3">
    <w:name w:val="WW8Num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0z1">
    <w:name w:val="WW8Num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0z2">
    <w:name w:val="WW8Num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1z1">
    <w:name w:val="WW8Num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1z2">
    <w:name w:val="WW8Num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3z1">
    <w:name w:val="WW8Num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3z2">
    <w:name w:val="WW8Num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4z1">
    <w:name w:val="WW8Num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4z2">
    <w:name w:val="WW8Num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5z0">
    <w:name w:val="WW8Num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5z1">
    <w:name w:val="WW8Num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5z3">
    <w:name w:val="WW8Num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6z0">
    <w:name w:val="WW8Num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6z1">
    <w:name w:val="WW8Num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6z2">
    <w:name w:val="WW8Num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7z0">
    <w:name w:val="WW8Num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7z1">
    <w:name w:val="WW8Num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7z2">
    <w:name w:val="WW8Num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8z0">
    <w:name w:val="WW8Num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8z1">
    <w:name w:val="WW8Num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8z3">
    <w:name w:val="WW8Num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0z0">
    <w:name w:val="WW8Num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0z1">
    <w:name w:val="WW8Num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0z2">
    <w:name w:val="WW8Num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1z0">
    <w:name w:val="WW8Num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1z1">
    <w:name w:val="WW8Num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1z2">
    <w:name w:val="WW8Num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2z0">
    <w:name w:val="WW8Num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2z1">
    <w:name w:val="WW8Num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2z2">
    <w:name w:val="WW8Num4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Appleconvertedspace">
    <w:name w:val="apple-converted-spac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istLabel1710">
    <w:name w:val="ListLabel 1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istLabel1810">
    <w:name w:val="ListLabel 1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istLabel1910">
    <w:name w:val="ListLabel 1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Ttulo12345">
    <w:name w:val="WW-Título12345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pt-BR" w:eastAsia="zh-CN" w:bidi="hi-IN"/>
    </w:rPr>
  </w:style>
  <w:style w:type="paragraph" w:styleId="WWTtulo21">
    <w:name w:val="WW-Título21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11">
    <w:name w:val="WW-Título11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1234">
    <w:name w:val="WW-Título1234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123">
    <w:name w:val="WW-Título123"/>
    <w:qFormat/>
    <w:pPr>
      <w:widowControl/>
      <w:suppressAutoHyphens w:val="true"/>
      <w:overflowPunct w:val="false"/>
      <w:bidi w:val="0"/>
      <w:spacing w:before="746" w:after="374"/>
      <w:jc w:val="left"/>
    </w:pPr>
    <w:rPr>
      <w:rFonts w:ascii="Lucida Sans Unicode" w:hAnsi="Lucida Sans Unicode" w:eastAsia="Tahoma" w:cs="Liberation Sans;Arial"/>
      <w:color w:val="000000"/>
      <w:kern w:val="2"/>
      <w:sz w:val="28"/>
      <w:szCs w:val="24"/>
      <w:lang w:val="pt-BR" w:eastAsia="zh-CN" w:bidi="hi-IN"/>
    </w:rPr>
  </w:style>
  <w:style w:type="paragraph" w:styleId="WW8Num1z31">
    <w:name w:val="WW8Num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41">
    <w:name w:val="WW8Num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51">
    <w:name w:val="WW8Num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61">
    <w:name w:val="WW8Num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71">
    <w:name w:val="WW8Num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81">
    <w:name w:val="WW8Num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Ttulo12">
    <w:name w:val="WW-Título12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pt-BR" w:eastAsia="zh-CN" w:bidi="hi-IN"/>
    </w:rPr>
  </w:style>
  <w:style w:type="paragraph" w:styleId="Turquise3">
    <w:name w:val="turquise3"/>
    <w:qFormat/>
    <w:pPr>
      <w:widowControl/>
      <w:suppressAutoHyphens w:val="true"/>
      <w:overflowPunct w:val="false"/>
      <w:bidi w:val="0"/>
      <w:spacing w:lineRule="atLeast" w:line="623" w:before="0" w:after="0"/>
      <w:ind w:left="0" w:right="0" w:hanging="0"/>
      <w:jc w:val="left"/>
    </w:pPr>
    <w:rPr>
      <w:rFonts w:ascii="Mangal" w:hAnsi="Mangal" w:eastAsia="Tahoma" w:cs="Liberation Sans;Arial"/>
      <w:color w:val="000000"/>
      <w:kern w:val="2"/>
      <w:sz w:val="36"/>
      <w:szCs w:val="24"/>
      <w:lang w:val="pt-BR" w:eastAsia="zh-CN" w:bidi="hi-IN"/>
    </w:rPr>
  </w:style>
  <w:style w:type="paragraph" w:styleId="Turquise2">
    <w:name w:val="turquise2"/>
    <w:qFormat/>
    <w:pPr>
      <w:widowControl/>
      <w:suppressAutoHyphens w:val="true"/>
      <w:overflowPunct w:val="false"/>
      <w:bidi w:val="0"/>
      <w:spacing w:lineRule="atLeast" w:line="623" w:before="0" w:after="0"/>
      <w:ind w:left="0" w:right="0" w:hanging="0"/>
      <w:jc w:val="left"/>
    </w:pPr>
    <w:rPr>
      <w:rFonts w:ascii="Mangal" w:hAnsi="Mangal" w:eastAsia="Tahoma" w:cs="Liberation Sans;Arial"/>
      <w:color w:val="000000"/>
      <w:kern w:val="2"/>
      <w:sz w:val="36"/>
      <w:szCs w:val="24"/>
      <w:lang w:val="pt-BR" w:eastAsia="zh-CN" w:bidi="hi-IN"/>
    </w:rPr>
  </w:style>
  <w:style w:type="paragraph" w:styleId="Turquise1">
    <w:name w:val="turquise1"/>
    <w:qFormat/>
    <w:pPr>
      <w:widowControl/>
      <w:suppressAutoHyphens w:val="true"/>
      <w:overflowPunct w:val="false"/>
      <w:bidi w:val="0"/>
      <w:spacing w:lineRule="atLeast" w:line="623" w:before="0" w:after="0"/>
      <w:ind w:left="0" w:right="0" w:hanging="0"/>
      <w:jc w:val="left"/>
    </w:pPr>
    <w:rPr>
      <w:rFonts w:ascii="Mangal" w:hAnsi="Mangal" w:eastAsia="Tahoma" w:cs="Liberation Sans;Arial"/>
      <w:color w:val="000000"/>
      <w:kern w:val="2"/>
      <w:sz w:val="36"/>
      <w:szCs w:val="24"/>
      <w:lang w:val="pt-BR" w:eastAsia="zh-CN" w:bidi="hi-IN"/>
    </w:rPr>
  </w:style>
  <w:style w:type="paragraph" w:styleId="WWTtulo2">
    <w:name w:val="WW-Título2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1">
    <w:name w:val="WW-Título1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">
    <w:name w:val="WW-Título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Ncoradanotaderodap">
    <w:name w:val="Âncora da nota de rodapé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Caracteresdenotaderodap">
    <w:name w:val="Caracteres de nota de rodapé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Caracteresdenotadefim">
    <w:name w:val="WW-Caracteres de nota de fim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Caracteresdenotadefim">
    <w:name w:val="Caracteres de nota de fim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3">
    <w:name w:val="WW8Num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Refdenotaderodap">
    <w:name w:val="Ref. de nota de rodapé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81">
    <w:name w:val="WW8Num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71">
    <w:name w:val="WW8Num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61">
    <w:name w:val="WW8Num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51">
    <w:name w:val="WW8Num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41">
    <w:name w:val="WW8Num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31">
    <w:name w:val="WW8Num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Default1">
    <w:name w:val="Default"/>
    <w:basedOn w:val="Normal"/>
    <w:qFormat/>
    <w:pPr>
      <w:jc w:val="left"/>
    </w:pPr>
    <w:rPr>
      <w:rFonts w:ascii="Calibri" w:hAnsi="Calibri" w:eastAsia="Calibri" w:cs="Calibri"/>
      <w:color w:val="000000"/>
      <w:sz w:val="24"/>
      <w:szCs w:val="24"/>
    </w:rPr>
  </w:style>
  <w:style w:type="paragraph" w:styleId="TableParagraph">
    <w:name w:val="Table Paragraph"/>
    <w:basedOn w:val="Normal"/>
    <w:qFormat/>
    <w:pPr>
      <w:spacing w:before="17" w:after="0"/>
    </w:pPr>
    <w:rPr>
      <w:rFonts w:ascii="Arial" w:hAnsi="Arial" w:eastAsia="Arial" w:cs="Arial"/>
      <w:lang w:val="pt-PT" w:bidi="pt-PT"/>
    </w:rPr>
  </w:style>
  <w:style w:type="paragraph" w:styleId="Ttulo1Char">
    <w:name w:val="Título 1 Ch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rlito;Calibri" w:hAnsi="Carlito;Calibri" w:eastAsia="Tahoma" w:cs="Liberation Sans;Arial"/>
      <w:b/>
      <w:color w:val="auto"/>
      <w:kern w:val="2"/>
      <w:sz w:val="18"/>
      <w:szCs w:val="24"/>
      <w:lang w:val="pt-BR" w:eastAsia="zh-CN" w:bidi="hi-IN"/>
    </w:rPr>
  </w:style>
  <w:style w:type="paragraph" w:styleId="CorpodetextoChar">
    <w:name w:val="Corpo de texto Ch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rlito;Calibri" w:hAnsi="Carlito;Calibri" w:eastAsia="Tahoma" w:cs="Liberation Sans;Arial"/>
      <w:color w:val="auto"/>
      <w:kern w:val="2"/>
      <w:sz w:val="16"/>
      <w:szCs w:val="24"/>
      <w:lang w:val="pt-BR" w:eastAsia="zh-CN" w:bidi="hi-IN"/>
    </w:rPr>
  </w:style>
  <w:style w:type="paragraph" w:styleId="RodapChar">
    <w:name w:val="Rodapé Ch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otnoteanchor">
    <w:name w:val="Footnote ancho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otnoteSymbol">
    <w:name w:val="Footnote Symbo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StrongEmphasis">
    <w:name w:val="Strong Emphasi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b/>
      <w:color w:val="auto"/>
      <w:kern w:val="2"/>
      <w:sz w:val="24"/>
      <w:szCs w:val="24"/>
      <w:lang w:val="pt-BR" w:eastAsia="zh-CN" w:bidi="hi-IN"/>
    </w:rPr>
  </w:style>
  <w:style w:type="paragraph" w:styleId="Internetlink">
    <w:name w:val="Hyperlink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000080"/>
      <w:kern w:val="2"/>
      <w:sz w:val="24"/>
      <w:szCs w:val="24"/>
      <w:u w:val="single"/>
      <w:lang w:val="pt-BR" w:eastAsia="zh-CN" w:bidi="hi-IN"/>
    </w:rPr>
  </w:style>
  <w:style w:type="paragraph" w:styleId="BulletSymbols">
    <w:name w:val="Bullet Symbol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b w:val="false"/>
      <w:color w:val="auto"/>
      <w:kern w:val="2"/>
      <w:sz w:val="24"/>
      <w:szCs w:val="24"/>
      <w:lang w:val="pt-BR" w:eastAsia="zh-CN" w:bidi="hi-IN"/>
    </w:rPr>
  </w:style>
  <w:style w:type="paragraph" w:styleId="WW8Num20z8">
    <w:name w:val="WW8Num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7">
    <w:name w:val="WW8Num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6">
    <w:name w:val="WW8Num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5">
    <w:name w:val="WW8Num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4">
    <w:name w:val="WW8Num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8">
    <w:name w:val="WW8Num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7">
    <w:name w:val="WW8Num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6">
    <w:name w:val="WW8Num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5">
    <w:name w:val="WW8Num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4">
    <w:name w:val="WW8Num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3">
    <w:name w:val="WW8Num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8">
    <w:name w:val="WW8Num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7">
    <w:name w:val="WW8Num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6">
    <w:name w:val="WW8Num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5">
    <w:name w:val="WW8Num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4">
    <w:name w:val="WW8Num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3">
    <w:name w:val="WW8Num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8">
    <w:name w:val="WW8Num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7">
    <w:name w:val="WW8Num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6">
    <w:name w:val="WW8Num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5">
    <w:name w:val="WW8Num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4">
    <w:name w:val="WW8Num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3">
    <w:name w:val="WW8Num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8">
    <w:name w:val="WW8Num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7">
    <w:name w:val="WW8Num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6">
    <w:name w:val="WW8Num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5">
    <w:name w:val="WW8Num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4">
    <w:name w:val="WW8Num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3z2">
    <w:name w:val="WW8Num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8">
    <w:name w:val="WW8Num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7">
    <w:name w:val="WW8Num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6">
    <w:name w:val="WW8Num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5">
    <w:name w:val="WW8Num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4">
    <w:name w:val="WW8Num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3">
    <w:name w:val="WW8Num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8">
    <w:name w:val="WW8Num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7">
    <w:name w:val="WW8Num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6">
    <w:name w:val="WW8Num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5">
    <w:name w:val="WW8Num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4">
    <w:name w:val="WW8Num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3">
    <w:name w:val="WW8Num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8">
    <w:name w:val="WW8Num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7">
    <w:name w:val="WW8Num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6">
    <w:name w:val="WW8Num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5">
    <w:name w:val="WW8Num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4">
    <w:name w:val="WW8Num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3">
    <w:name w:val="WW8Num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8">
    <w:name w:val="WW8Num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7">
    <w:name w:val="WW8Num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6">
    <w:name w:val="WW8Num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5">
    <w:name w:val="WW8Num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4">
    <w:name w:val="WW8Num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3">
    <w:name w:val="WW8Num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2">
    <w:name w:val="WW8Num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11">
    <w:name w:val="WW8Num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8">
    <w:name w:val="WW8Num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7">
    <w:name w:val="WW8Num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6">
    <w:name w:val="WW8Num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5">
    <w:name w:val="WW8Num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4">
    <w:name w:val="WW8Num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8">
    <w:name w:val="WW8Num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7">
    <w:name w:val="WW8Num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6">
    <w:name w:val="WW8Num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5">
    <w:name w:val="WW8Num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4">
    <w:name w:val="WW8Num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3">
    <w:name w:val="WW8Num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8">
    <w:name w:val="WW8Num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7">
    <w:name w:val="WW8Num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6">
    <w:name w:val="WW8Num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5">
    <w:name w:val="WW8Num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4">
    <w:name w:val="WW8Num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3">
    <w:name w:val="WW8Num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2">
    <w:name w:val="WW8Num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8">
    <w:name w:val="WW8Num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7">
    <w:name w:val="WW8Num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6">
    <w:name w:val="WW8Num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5">
    <w:name w:val="WW8Num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4">
    <w:name w:val="WW8Num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2">
    <w:name w:val="WW8Num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8">
    <w:name w:val="WW8Num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7">
    <w:name w:val="WW8Num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6">
    <w:name w:val="WW8Num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5">
    <w:name w:val="WW8Num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4">
    <w:name w:val="WW8Num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3">
    <w:name w:val="WW8Num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2">
    <w:name w:val="WW8Num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8">
    <w:name w:val="WW8Num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7">
    <w:name w:val="WW8Num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6">
    <w:name w:val="WW8Num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5">
    <w:name w:val="WW8Num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4">
    <w:name w:val="WW8Num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2z3">
    <w:name w:val="WW8Num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otnote">
    <w:name w:val="Footnote"/>
    <w:qFormat/>
    <w:pPr>
      <w:widowControl/>
      <w:suppressAutoHyphens w:val="true"/>
      <w:overflowPunct w:val="false"/>
      <w:bidi w:val="0"/>
      <w:spacing w:before="0" w:after="0"/>
      <w:ind w:left="598" w:right="0" w:hanging="0"/>
      <w:jc w:val="left"/>
    </w:pPr>
    <w:rPr>
      <w:rFonts w:ascii="Mangal" w:hAnsi="Mangal" w:eastAsia="Tahoma" w:cs="Liberation Sans;Arial"/>
      <w:color w:val="000000"/>
      <w:kern w:val="2"/>
      <w:sz w:val="20"/>
      <w:szCs w:val="24"/>
      <w:lang w:val="pt-BR" w:eastAsia="zh-CN" w:bidi="hi-IN"/>
    </w:rPr>
  </w:style>
  <w:style w:type="paragraph" w:styleId="Refdenotaderodap1">
    <w:name w:val="Ref. de nota de rodapé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Fontepargpadro31">
    <w:name w:val="Fonte parág. padrão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Nmerodepgina1">
    <w:name w:val="Número de página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Textbody">
    <w:name w:val="Text body"/>
    <w:qFormat/>
    <w:pPr>
      <w:widowControl/>
      <w:suppressAutoHyphens w:val="true"/>
      <w:overflowPunct w:val="false"/>
      <w:bidi w:val="0"/>
      <w:spacing w:lineRule="atLeast" w:line="623" w:before="0" w:after="0"/>
      <w:ind w:left="0" w:right="0" w:hanging="0"/>
      <w:jc w:val="center"/>
    </w:pPr>
    <w:rPr>
      <w:rFonts w:ascii="Liberation Sans;Arial" w:hAnsi="Liberation Sans;Arial" w:eastAsia="Tahoma" w:cs="Liberation Sans;Arial"/>
      <w:b w:val="false"/>
      <w:i w:val="false"/>
      <w:strike w:val="false"/>
      <w:dstrike w:val="false"/>
      <w:outline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LONormal1">
    <w:name w:val="LO-Normal1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jc w:val="center"/>
    </w:pPr>
    <w:rPr>
      <w:i/>
      <w:iCs/>
      <w:sz w:val="28"/>
      <w:szCs w:val="28"/>
    </w:rPr>
  </w:style>
  <w:style w:type="paragraph" w:styleId="Corpodetexto">
    <w:name w:val="Corpo de texto"/>
    <w:qFormat/>
    <w:pPr>
      <w:widowControl/>
      <w:suppressAutoHyphens w:val="true"/>
      <w:overflowPunct w:val="false"/>
      <w:bidi w:val="0"/>
      <w:spacing w:before="0" w:after="247"/>
      <w:jc w:val="left"/>
    </w:pPr>
    <w:rPr>
      <w:rFonts w:ascii="Times New Roman" w:hAnsi="Times New Roman" w:eastAsia="Tahoma" w:cs="Arial"/>
      <w:color w:val="auto"/>
      <w:kern w:val="2"/>
      <w:sz w:val="24"/>
      <w:szCs w:val="24"/>
      <w:lang w:val="pt-BR" w:eastAsia="zh-CN" w:bidi="hi-IN"/>
    </w:rPr>
  </w:style>
  <w:style w:type="paragraph" w:styleId="Rodap">
    <w:name w:val="Footer"/>
    <w:basedOn w:val="Normal"/>
    <w:pPr>
      <w:suppressLineNumbers/>
      <w:tabs>
        <w:tab w:val="clear" w:pos="720"/>
        <w:tab w:val="center" w:pos="5386" w:leader="none"/>
        <w:tab w:val="right" w:pos="10772" w:leader="none"/>
      </w:tabs>
    </w:pPr>
    <w:rPr/>
  </w:style>
  <w:style w:type="paragraph" w:styleId="Cabealhoesquerda">
    <w:name w:val="Cabeçalho à esquerda"/>
    <w:basedOn w:val="Normal"/>
    <w:qFormat/>
    <w:pPr>
      <w:suppressLineNumbers/>
      <w:tabs>
        <w:tab w:val="clear" w:pos="720"/>
        <w:tab w:val="center" w:pos="4972" w:leader="none"/>
        <w:tab w:val="right" w:pos="9945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36"/>
      <w:szCs w:val="36"/>
    </w:rPr>
  </w:style>
  <w:style w:type="paragraph" w:styleId="LONormal3">
    <w:name w:val="LO-Normal3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Estilopadrodedesenho">
    <w:name w:val="Estilo padrão de desenho"/>
    <w:qFormat/>
    <w:pPr>
      <w:widowControl/>
      <w:bidi w:val="0"/>
      <w:spacing w:lineRule="atLeast" w:line="200" w:before="0" w:after="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pt-BR" w:eastAsia="zh-CN" w:bidi="hi-IN"/>
    </w:rPr>
  </w:style>
  <w:style w:type="paragraph" w:styleId="A4">
    <w:name w:val="A4"/>
    <w:basedOn w:val="Texto"/>
    <w:qFormat/>
    <w:pPr/>
    <w:rPr>
      <w:rFonts w:ascii="Noto Sans" w:hAnsi="Noto Sans"/>
      <w:sz w:val="36"/>
    </w:rPr>
  </w:style>
  <w:style w:type="paragraph" w:styleId="Texto">
    <w:name w:val="Texto"/>
    <w:basedOn w:val="Legenda"/>
    <w:qFormat/>
    <w:pPr/>
    <w:rPr/>
  </w:style>
  <w:style w:type="paragraph" w:styleId="TtulododocumentoA4">
    <w:name w:val="Título do documento A4"/>
    <w:basedOn w:val="A4"/>
    <w:qFormat/>
    <w:pPr/>
    <w:rPr>
      <w:rFonts w:ascii="Noto Sans" w:hAnsi="Noto Sans"/>
      <w:sz w:val="87"/>
    </w:rPr>
  </w:style>
  <w:style w:type="paragraph" w:styleId="TtuloA4">
    <w:name w:val="Título A4"/>
    <w:basedOn w:val="A4"/>
    <w:qFormat/>
    <w:pPr/>
    <w:rPr>
      <w:rFonts w:ascii="Noto Sans" w:hAnsi="Noto Sans"/>
      <w:sz w:val="48"/>
    </w:rPr>
  </w:style>
  <w:style w:type="paragraph" w:styleId="TextoA4">
    <w:name w:val="Tex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o"/>
    <w:qFormat/>
    <w:pPr/>
    <w:rPr>
      <w:rFonts w:ascii="Noto Sans" w:hAnsi="Noto Sans"/>
      <w:sz w:val="95"/>
    </w:rPr>
  </w:style>
  <w:style w:type="paragraph" w:styleId="TtulododocumentoA0">
    <w:name w:val="Título do documento A0"/>
    <w:basedOn w:val="A0"/>
    <w:qFormat/>
    <w:pPr/>
    <w:rPr>
      <w:rFonts w:ascii="Noto Sans" w:hAnsi="Noto Sans"/>
      <w:sz w:val="191"/>
    </w:rPr>
  </w:style>
  <w:style w:type="paragraph" w:styleId="TtuloA0">
    <w:name w:val="Título A0"/>
    <w:basedOn w:val="A0"/>
    <w:qFormat/>
    <w:pPr/>
    <w:rPr>
      <w:rFonts w:ascii="Noto Sans" w:hAnsi="Noto Sans"/>
      <w:sz w:val="143"/>
    </w:rPr>
  </w:style>
  <w:style w:type="paragraph" w:styleId="TextoA0">
    <w:name w:val="Texto A0"/>
    <w:basedOn w:val="A0"/>
    <w:qFormat/>
    <w:pPr/>
    <w:rPr>
      <w:rFonts w:ascii="Noto Sans" w:hAnsi="Noto Sans"/>
      <w:sz w:val="95"/>
    </w:rPr>
  </w:style>
  <w:style w:type="paragraph" w:styleId="Formas">
    <w:name w:val="Formas"/>
    <w:basedOn w:val="Figura"/>
    <w:qFormat/>
    <w:pPr/>
    <w:rPr>
      <w:rFonts w:ascii="Liberation Sans" w:hAnsi="Liberation Sans"/>
      <w:b/>
      <w:sz w:val="28"/>
    </w:rPr>
  </w:style>
  <w:style w:type="paragraph" w:styleId="Figura">
    <w:name w:val="Figura"/>
    <w:basedOn w:val="Legenda"/>
    <w:qFormat/>
    <w:pPr/>
    <w:rPr/>
  </w:style>
  <w:style w:type="paragraph" w:styleId="Preenchido">
    <w:name w:val="Preenchido"/>
    <w:basedOn w:val="Formas"/>
    <w:qFormat/>
    <w:pPr/>
    <w:rPr>
      <w:rFonts w:ascii="Liberation Sans" w:hAnsi="Liberation Sans"/>
      <w:b/>
      <w:sz w:val="28"/>
    </w:rPr>
  </w:style>
  <w:style w:type="paragraph" w:styleId="Preenchidoazul">
    <w:name w:val="Preenchido azul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de">
    <w:name w:val="Preenchido verde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melho">
    <w:name w:val="Preenchido vermelh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amarelo">
    <w:name w:val="Preenchido amarel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Contorno">
    <w:name w:val="Contorno"/>
    <w:basedOn w:val="Formas"/>
    <w:qFormat/>
    <w:pPr/>
    <w:rPr>
      <w:rFonts w:ascii="Liberation Sans" w:hAnsi="Liberation Sans"/>
      <w:b/>
      <w:sz w:val="28"/>
    </w:rPr>
  </w:style>
  <w:style w:type="paragraph" w:styleId="Contornoazul">
    <w:name w:val="Contorno azul"/>
    <w:basedOn w:val="Contorno"/>
    <w:qFormat/>
    <w:pPr/>
    <w:rPr>
      <w:rFonts w:ascii="Liberation Sans" w:hAnsi="Liberation Sans"/>
      <w:b/>
      <w:color w:val="355269"/>
      <w:sz w:val="28"/>
    </w:rPr>
  </w:style>
  <w:style w:type="paragraph" w:styleId="Contornoverde">
    <w:name w:val="Contorno verde"/>
    <w:basedOn w:val="Contorno"/>
    <w:qFormat/>
    <w:pPr/>
    <w:rPr>
      <w:rFonts w:ascii="Liberation Sans" w:hAnsi="Liberation Sans"/>
      <w:b/>
      <w:color w:val="127622"/>
      <w:sz w:val="28"/>
    </w:rPr>
  </w:style>
  <w:style w:type="paragraph" w:styleId="Contornovermelho">
    <w:name w:val="Contorno vermelho"/>
    <w:basedOn w:val="Contorno"/>
    <w:qFormat/>
    <w:pPr/>
    <w:rPr>
      <w:rFonts w:ascii="Liberation Sans" w:hAnsi="Liberation Sans"/>
      <w:b/>
      <w:color w:val="C9211E"/>
      <w:sz w:val="28"/>
    </w:rPr>
  </w:style>
  <w:style w:type="paragraph" w:styleId="Contornoamarelo">
    <w:name w:val="Contorno amarelo"/>
    <w:basedOn w:val="Contorno"/>
    <w:qFormat/>
    <w:pPr/>
    <w:rPr>
      <w:rFonts w:ascii="Liberation Sans" w:hAnsi="Liberation Sans"/>
      <w:b/>
      <w:color w:val="B47804"/>
      <w:sz w:val="28"/>
    </w:rPr>
  </w:style>
  <w:style w:type="paragraph" w:styleId="Linhas">
    <w:name w:val="Linhas"/>
    <w:basedOn w:val="Figura"/>
    <w:qFormat/>
    <w:pPr/>
    <w:rPr>
      <w:rFonts w:ascii="Liberation Sans" w:hAnsi="Liberation Sans"/>
      <w:sz w:val="36"/>
    </w:rPr>
  </w:style>
  <w:style w:type="paragraph" w:styleId="Linhascomsetas">
    <w:name w:val="Linhas com setas"/>
    <w:basedOn w:val="Linhas"/>
    <w:qFormat/>
    <w:pPr/>
    <w:rPr>
      <w:rFonts w:ascii="Liberation Sans" w:hAnsi="Liberation Sans"/>
      <w:sz w:val="36"/>
    </w:rPr>
  </w:style>
  <w:style w:type="paragraph" w:styleId="Linhastracejadas">
    <w:name w:val="Linhas tracejadas"/>
    <w:basedOn w:val="Linha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pt-BR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BlankSlideLTUntertitel">
    <w:name w:val="Blank Slide~LT~Untertitel"/>
    <w:qFormat/>
    <w:pPr>
      <w:widowControl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BR" w:eastAsia="zh-CN" w:bidi="hi-IN"/>
    </w:rPr>
  </w:style>
  <w:style w:type="paragraph" w:styleId="BlankSlideLTNotizen">
    <w:name w:val="Blank Slide~LT~Notizen"/>
    <w:qFormat/>
    <w:pPr>
      <w:widowControl/>
      <w:bidi w:val="0"/>
      <w:spacing w:before="0" w:after="0"/>
      <w:ind w:left="340" w:hanging="34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zh-CN" w:bidi="hi-IN"/>
    </w:rPr>
  </w:style>
  <w:style w:type="paragraph" w:styleId="BlankSlideLTHintergrundobjekte">
    <w:name w:val="Blank Slide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BlankSlideLTHintergrund">
    <w:name w:val="Blank Slide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Padro1LTGliederung1">
    <w:name w:val="Padrão 1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pt-BR" w:eastAsia="zh-CN" w:bidi="hi-IN"/>
    </w:rPr>
  </w:style>
  <w:style w:type="paragraph" w:styleId="Padro1LTGliederung2">
    <w:name w:val="Padrão 1~LT~Gliederung 2"/>
    <w:basedOn w:val="Padro1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adro1LTGliederung3">
    <w:name w:val="Padrão 1~LT~Gliederung 3"/>
    <w:basedOn w:val="Padro1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adro1LTGliederung4">
    <w:name w:val="Padrão 1~LT~Gliederung 4"/>
    <w:basedOn w:val="Padro1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5">
    <w:name w:val="Padrão 1~LT~Gliederung 5"/>
    <w:basedOn w:val="Padro1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6">
    <w:name w:val="Padrão 1~LT~Gliederung 6"/>
    <w:basedOn w:val="Padro1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7">
    <w:name w:val="Padrão 1~LT~Gliederung 7"/>
    <w:basedOn w:val="Padro1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8">
    <w:name w:val="Padrão 1~LT~Gliederung 8"/>
    <w:basedOn w:val="Padro1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9">
    <w:name w:val="Padrão 1~LT~Gliederung 9"/>
    <w:basedOn w:val="Padro1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Titel">
    <w:name w:val="Padrão 1~LT~Titel"/>
    <w:qFormat/>
    <w:pPr>
      <w:widowControl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Padro1LTUntertitel">
    <w:name w:val="Padrão 1~LT~Untertitel"/>
    <w:qFormat/>
    <w:pPr>
      <w:widowControl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BR" w:eastAsia="zh-CN" w:bidi="hi-IN"/>
    </w:rPr>
  </w:style>
  <w:style w:type="paragraph" w:styleId="Padro1LTNotizen">
    <w:name w:val="Padrão 1~LT~Notizen"/>
    <w:qFormat/>
    <w:pPr>
      <w:widowControl/>
      <w:bidi w:val="0"/>
      <w:spacing w:before="0" w:after="0"/>
      <w:ind w:left="340" w:hanging="34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zh-CN" w:bidi="hi-IN"/>
    </w:rPr>
  </w:style>
  <w:style w:type="paragraph" w:styleId="Padro1LTHintergrundobjekte">
    <w:name w:val="Padrão 1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Padro1LTHintergrund">
    <w:name w:val="Padrão 1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Padro2LTGliederung1">
    <w:name w:val="Padrão 2~LT~Gliederung 1"/>
    <w:qFormat/>
    <w:pPr>
      <w:widowControl/>
      <w:bidi w:val="0"/>
      <w:spacing w:before="283" w:after="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pt-BR" w:eastAsia="zh-CN" w:bidi="hi-IN"/>
    </w:rPr>
  </w:style>
  <w:style w:type="paragraph" w:styleId="Padro2LTGliederung2">
    <w:name w:val="Padrão 2~LT~Gliederung 2"/>
    <w:basedOn w:val="Padro2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adro2LTGliederung3">
    <w:name w:val="Padrão 2~LT~Gliederung 3"/>
    <w:basedOn w:val="Padro2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adro2LTGliederung4">
    <w:name w:val="Padrão 2~LT~Gliederung 4"/>
    <w:basedOn w:val="Padro2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5">
    <w:name w:val="Padrão 2~LT~Gliederung 5"/>
    <w:basedOn w:val="Padro2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6">
    <w:name w:val="Padrão 2~LT~Gliederung 6"/>
    <w:basedOn w:val="Padro2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7">
    <w:name w:val="Padrão 2~LT~Gliederung 7"/>
    <w:basedOn w:val="Padro2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8">
    <w:name w:val="Padrão 2~LT~Gliederung 8"/>
    <w:basedOn w:val="Padro2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9">
    <w:name w:val="Padrão 2~LT~Gliederung 9"/>
    <w:basedOn w:val="Padro2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Titel">
    <w:name w:val="Padrão 2~LT~Titel"/>
    <w:qFormat/>
    <w:pPr>
      <w:widowControl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Padro2LTUntertitel">
    <w:name w:val="Padrão 2~LT~Untertitel"/>
    <w:qFormat/>
    <w:pPr>
      <w:widowControl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BR" w:eastAsia="zh-CN" w:bidi="hi-IN"/>
    </w:rPr>
  </w:style>
  <w:style w:type="paragraph" w:styleId="Padro2LTNotizen">
    <w:name w:val="Padrão 2~LT~Notizen"/>
    <w:qFormat/>
    <w:pPr>
      <w:widowControl/>
      <w:bidi w:val="0"/>
      <w:spacing w:before="0" w:after="0"/>
      <w:ind w:left="340" w:hanging="34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zh-CN" w:bidi="hi-IN"/>
    </w:rPr>
  </w:style>
  <w:style w:type="paragraph" w:styleId="Padro2LTHintergrundobjekte">
    <w:name w:val="Padrão 2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Padro2LTHintergrund">
    <w:name w:val="Padrão 2~LT~Hintergrund"/>
    <w:qFormat/>
    <w:pPr>
      <w:widowControl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package" Target="embeddings/oleObject1.xlsx"/><Relationship Id="rId11" Type="http://schemas.openxmlformats.org/officeDocument/2006/relationships/image" Target="media/image3.emf"/><Relationship Id="rId12" Type="http://schemas.openxmlformats.org/officeDocument/2006/relationships/package" Target="embeddings/oleObject2.xlsx"/><Relationship Id="rId13" Type="http://schemas.openxmlformats.org/officeDocument/2006/relationships/image" Target="media/image4.emf"/><Relationship Id="rId14" Type="http://schemas.openxmlformats.org/officeDocument/2006/relationships/package" Target="embeddings/oleObject3.xlsx"/><Relationship Id="rId15" Type="http://schemas.openxmlformats.org/officeDocument/2006/relationships/image" Target="media/image5.emf"/><Relationship Id="rId16" Type="http://schemas.openxmlformats.org/officeDocument/2006/relationships/package" Target="embeddings/oleObject4.xlsx"/><Relationship Id="rId17" Type="http://schemas.openxmlformats.org/officeDocument/2006/relationships/image" Target="media/image6.emf"/><Relationship Id="rId18" Type="http://schemas.openxmlformats.org/officeDocument/2006/relationships/package" Target="embeddings/oleObject5.xlsx"/><Relationship Id="rId19" Type="http://schemas.openxmlformats.org/officeDocument/2006/relationships/image" Target="media/image7.emf"/><Relationship Id="rId20" Type="http://schemas.openxmlformats.org/officeDocument/2006/relationships/image" Target="media/image8.png"/><Relationship Id="rId21" Type="http://schemas.openxmlformats.org/officeDocument/2006/relationships/header" Target="header4.xml"/><Relationship Id="rId22" Type="http://schemas.openxmlformats.org/officeDocument/2006/relationships/header" Target="header5.xml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37678</TotalTime>
  <Application>LibreOffice/7.3.7.2$Windows_X86_64 LibreOffice_project/e114eadc50a9ff8d8c8a0567d6da8f454beeb84f</Application>
  <AppVersion>15.0000</AppVersion>
  <Pages>38</Pages>
  <Words>6103</Words>
  <Characters>35322</Characters>
  <CharactersWithSpaces>42238</CharactersWithSpaces>
  <Paragraphs>892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2017-02-22T17:32:39Z</dcterms:created>
  <dc:creator/>
  <dc:description/>
  <dc:language>pt-BR</dc:language>
  <cp:lastModifiedBy/>
  <cp:lastPrinted>2023-10-31T15:27:41Z</cp:lastPrinted>
  <dcterms:modified xsi:type="dcterms:W3CDTF">2024-04-10T09:19:00Z</dcterms:modified>
  <cp:revision>1487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