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emf" ContentType="image/x-emf"/>
  <Override PartName="/word/media/image4.emf" ContentType="image/x-emf"/>
  <Override PartName="/word/media/image5.emf" ContentType="image/x-emf"/>
  <Override PartName="/word/media/image6.emf" ContentType="image/x-emf"/>
  <Override PartName="/word/media/image7.emf" ContentType="image/x-emf"/>
  <Override PartName="/word/media/image8.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embeddings/oleObject3.xlsx" ContentType="application/vnd.openxmlformats-officedocument.spreadsheetml.sheet"/>
  <Override PartName="/word/embeddings/oleObject4.xlsx" ContentType="application/vnd.openxmlformats-officedocument.spreadsheetml.sheet"/>
  <Override PartName="/word/embeddings/oleObject5.xlsx" ContentType="application/vnd.openxmlformats-officedocument.spreadsheetml.shee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957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57"/>
      </w:tblGrid>
      <w:tr>
        <w:trPr/>
        <w:tc>
          <w:tcPr>
            <w:tcW w:w="9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cs="Calibri" w:ascii="Calibri" w:hAnsi="Calibri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  <w:t>PREFEITURA DE POÇOS DE CALDAS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32"/>
                <w:szCs w:val="32"/>
              </w:rPr>
            </w:pPr>
            <w:r>
              <w:rPr>
                <w:rFonts w:cs="Calibri" w:ascii="Arial" w:hAnsi="Arial"/>
                <w:color w:val="000000"/>
                <w:sz w:val="32"/>
                <w:szCs w:val="32"/>
              </w:rPr>
              <w:t>SECRETARIA MUNICIPAL DE SAÚDE</w:t>
            </w:r>
          </w:p>
          <w:p>
            <w:pPr>
              <w:pStyle w:val="Normal"/>
              <w:widowControl w:val="false"/>
              <w:rPr>
                <w:rFonts w:ascii="Arial" w:hAnsi="Arial" w:eastAsia="Calibri" w:cs="Calibri"/>
                <w:color w:val="000000"/>
              </w:rPr>
            </w:pPr>
            <w:r>
              <w:rPr>
                <w:rFonts w:eastAsia="Calibri"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rPr>
                <w:rFonts w:ascii="Arial" w:hAnsi="Arial" w:cs="Calibri"/>
                <w:color w:val="000000"/>
              </w:rPr>
            </w:pPr>
            <w:r>
              <w:rPr>
                <w:rFonts w:cs="Calibri" w:ascii="Arial" w:hAnsi="Arial"/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  <w:shd w:fill="auto" w:val="clear"/>
              </w:rPr>
              <w:t>RELATÓRIO QUADRIMESTRAL DE GESTÃO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  <w:shd w:fill="auto" w:val="clear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</w:rPr>
              <w:t>TERCEIRO QUADRIMESTRE DE 2023</w:t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8"/>
                <w:szCs w:val="48"/>
              </w:rPr>
            </w:pPr>
            <w:r>
              <w:rPr>
                <w:rFonts w:cs="Calibri" w:ascii="Arial" w:hAnsi="Arial"/>
                <w:color w:val="000000"/>
                <w:sz w:val="48"/>
                <w:szCs w:val="48"/>
              </w:rPr>
            </w:r>
          </w:p>
          <w:p>
            <w:pPr>
              <w:pStyle w:val="Standard"/>
              <w:widowControl w:val="false"/>
              <w:jc w:val="center"/>
              <w:rPr>
                <w:rFonts w:ascii="Arial" w:hAnsi="Arial" w:cs="Calibri"/>
                <w:color w:val="000000"/>
                <w:sz w:val="40"/>
                <w:szCs w:val="40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40"/>
                <w:szCs w:val="40"/>
                <w:shd w:fill="auto" w:val="clear"/>
              </w:rPr>
              <w:t>(SETEMBRO, OUTUBRO, NOVEMBRO, DEZEMBRO)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  <w:t>POÇOS DE CALDAS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  <w:t>JANEIRO DE 2024</w:t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Arial" w:hAnsi="Arial" w:cs="Calibri"/>
                <w:color w:val="000000"/>
                <w:shd w:fill="auto" w:val="clear"/>
              </w:rPr>
            </w:pPr>
            <w:r>
              <w:rPr>
                <w:rFonts w:cs="Calibri" w:ascii="Arial" w:hAnsi="Arial"/>
                <w:color w:val="000000"/>
                <w:shd w:fill="auto" w:val="clear"/>
              </w:rPr>
            </w:r>
          </w:p>
          <w:p>
            <w:pPr>
              <w:pStyle w:val="Standard"/>
              <w:widowControl w:val="false"/>
              <w:spacing w:lineRule="auto" w:line="36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="Calibri" w:ascii="Calibri" w:hAnsi="Calibri"/>
                <w:color w:val="000000"/>
              </w:rPr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b/>
          <w:b/>
          <w:bCs/>
          <w:shd w:fill="auto" w:val="clear"/>
        </w:rPr>
      </w:pPr>
      <w:r>
        <w:rPr>
          <w:rFonts w:cs="Calibri" w:ascii="Calibri" w:hAnsi="Calibri"/>
          <w:b/>
          <w:bCs/>
          <w:shd w:fill="auto" w:val="clear"/>
        </w:rPr>
        <w:t>FICHA TÉCNICA</w:t>
      </w:r>
    </w:p>
    <w:p>
      <w:pPr>
        <w:pStyle w:val="Normal"/>
        <w:spacing w:lineRule="atLeast" w:line="100" w:before="0" w:after="0"/>
        <w:jc w:val="center"/>
        <w:rPr>
          <w:rFonts w:ascii="Calibri" w:hAnsi="Calibri" w:cs="Calibri"/>
          <w:shd w:fill="auto" w:val="clear"/>
        </w:rPr>
      </w:pPr>
      <w:r>
        <w:rPr>
          <w:rFonts w:cs="Calibri" w:ascii="Calibri" w:hAnsi="Calibri"/>
          <w:shd w:fill="auto" w:val="clear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704"/>
        <w:gridCol w:w="4933"/>
      </w:tblGrid>
      <w:tr>
        <w:trPr/>
        <w:tc>
          <w:tcPr>
            <w:tcW w:w="4704" w:type="dxa"/>
            <w:tcBorders/>
          </w:tcPr>
          <w:p>
            <w:pPr>
              <w:pStyle w:val="Normal"/>
              <w:widowControl w:val="false"/>
              <w:snapToGrid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i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</w:rPr>
              <w:t>Sérgio Azevedo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Prefeito de Poços de Caldas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Gestão 01/01/2021 a 31/12/2024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Júlio César Freitas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Vice Prefeito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Thiago de Paula Mariano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Secretário Municipal de Saúde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sz w:val="24"/>
                <w:szCs w:val="24"/>
                <w:shd w:fill="auto" w:val="clear"/>
              </w:rPr>
              <w:t>Carlos Eduardo Almeida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Secretário Adjunto de Saúde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Calibri"/>
                <w:i/>
                <w:i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/>
                <w:i/>
                <w:iCs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/>
                <w:iCs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</w:tc>
        <w:tc>
          <w:tcPr>
            <w:tcW w:w="4933" w:type="dxa"/>
            <w:tcBorders/>
          </w:tcPr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color w:val="000000"/>
                <w:sz w:val="22"/>
                <w:szCs w:val="22"/>
                <w:shd w:fill="auto" w:val="clear"/>
              </w:rPr>
              <w:t>Equipe Técnica Responsável: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Elisandra de Souza Pizzol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do Departamento de Controle e Avaliação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João Carlos Naldoni Júnior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de Média e Alta Complexidade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Marlei Cristina dos Santos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do Núcleo de Programação Assistencial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Fabricio de Oliveira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do Departamento Gestão Administrativo-Financeiro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Luiz Carlos da Silva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Suprimentos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Ronaldo Tavares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Setor Administrativo-Financeiro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Nilton Gomes Junqueira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do Departamento de Saúde Coletiva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Edson Avella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Vigilância Sanitária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Juliana Loro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Vigilância Epidemiológica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Jorge Miguel Ferreira do Lago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de Vigilância em Saúde Ambiental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Ana Corina Pacheco de Miranda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Técnica do Hospital Municipal Margarita Morales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Isabella de Cássia Paulino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Administrativa do Hospital Margarita Morales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Welles Meire Alves Cava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do Departamento de Programas de Saúde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Camila Ferreira Bacelar Donato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Atenção Básica de Saúde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Cristiane Maria da Costa Silva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Serviços Odontológicos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Cristina Gadelha Navarro Vieira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Atenção Psicossocial – CAPS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Sirley Aparecida de Souza Oliveira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de Referência em DST-AIDS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Tereza Cristina Simões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da Divisão Adm. da Unidade de Pronto Atendimento tipo III – UPA III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Michele Cristina Bertozzi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Técnica da UPA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Heloísa Lessa Barroso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Míriam Cioffi Ayres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Tatiana Bastos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Cilmara dos Santos Molina Lopes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Grupo de Apoio da Atenção Básica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Daiana Clélia de Carvalho Morais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Chefe da Seção do Programa Materno Infantil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Lívia de Almeida Vieira Cava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Assistência Farmacêutica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Nair Teodora Smith Chuva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Diretora do Departamento do Serviço Móvel de Urgência e Emergência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Rosimar Spinelli Sargaço Pinheiro Costa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do SAMU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Wanderlei Monteiro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Técnico do Hospital Municipal Vereador Gilberto de Mattos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Marcos Cardinalli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 do Núcleo de Especialidades Médicas Leste (Hospital Zona Leste)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Isabel Cristina de Oliveira Carvalho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Coordenadora da Divisão Adm. da Policlínica Central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/>
                <w:b/>
                <w:bCs/>
                <w:i/>
                <w:i/>
                <w:iCs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i/>
                <w:iCs/>
                <w:color w:val="000000"/>
                <w:sz w:val="22"/>
                <w:szCs w:val="22"/>
                <w:shd w:fill="auto" w:val="clear"/>
              </w:rPr>
              <w:t>Dr. Daniel Simão Incrocci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Arial" w:hAnsi="Arial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  <w:t>Diretor Clínico da Policlínica Central</w:t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  <w:p>
            <w:pPr>
              <w:pStyle w:val="Normal"/>
              <w:widowControl w:val="false"/>
              <w:spacing w:lineRule="atLeast" w:line="100" w:before="0" w:after="0"/>
              <w:jc w:val="left"/>
              <w:rPr>
                <w:rFonts w:ascii="Calibri" w:hAnsi="Calibri" w:cs="Calibri"/>
                <w:i w:val="false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pPr>
            <w:r>
              <w:rPr>
                <w:rFonts w:cs="Calibri" w:ascii="Calibri" w:hAnsi="Calibri"/>
                <w:i w:val="false"/>
                <w:iCs w:val="false"/>
                <w:color w:val="000000"/>
                <w:sz w:val="22"/>
                <w:szCs w:val="22"/>
                <w:shd w:fill="auto" w:val="clear"/>
              </w:rPr>
            </w:r>
          </w:p>
        </w:tc>
      </w:tr>
    </w:tbl>
    <w:p>
      <w:pPr>
        <w:pStyle w:val="Normal"/>
        <w:spacing w:lineRule="atLeast" w:line="100" w:before="0" w:after="0"/>
        <w:jc w:val="center"/>
        <w:rPr>
          <w:rFonts w:ascii="Calibri" w:hAnsi="Calibri" w:cs="Calibri"/>
          <w:i w:val="false"/>
          <w:i w:val="false"/>
          <w:iCs w:val="false"/>
          <w:sz w:val="22"/>
          <w:szCs w:val="22"/>
          <w:shd w:fill="auto" w:val="clear"/>
        </w:rPr>
      </w:pPr>
      <w:r>
        <w:rPr>
          <w:rFonts w:cs="Calibri" w:ascii="Calibri" w:hAnsi="Calibri"/>
          <w:i w:val="false"/>
          <w:iCs w:val="false"/>
          <w:sz w:val="22"/>
          <w:szCs w:val="22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/>
          <w:i/>
          <w:iCs/>
          <w:sz w:val="22"/>
          <w:szCs w:val="22"/>
          <w:shd w:fill="auto" w:val="clear"/>
        </w:rPr>
      </w:pPr>
      <w:r>
        <w:rPr>
          <w:rFonts w:cs="Calibri" w:ascii="Calibri" w:hAnsi="Calibri"/>
          <w:i/>
          <w:iCs/>
          <w:sz w:val="22"/>
          <w:szCs w:val="22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left"/>
        <w:rPr>
          <w:rFonts w:ascii="Calibri" w:hAnsi="Calibri" w:cs="Calibri"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Calibri" w:ascii="Calibri" w:hAnsi="Calibri"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cs="Calibri"/>
          <w:b/>
          <w:b/>
          <w:bCs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sz w:val="24"/>
          <w:szCs w:val="24"/>
          <w:shd w:fill="auto" w:val="clear"/>
        </w:rPr>
        <w:t>SUMÁRIO</w:t>
      </w:r>
    </w:p>
    <w:tbl>
      <w:tblPr>
        <w:tblW w:w="9660" w:type="dxa"/>
        <w:jc w:val="left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10"/>
        <w:gridCol w:w="8230"/>
        <w:gridCol w:w="920"/>
      </w:tblGrid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INTRODUÇÃO...............................................................................................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5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2</w:t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REDE FÍSICA DE SERVIÇOS PÚBLICOS DE SAÚDE – PRÓPRIOS E PRIVADOS CONTRATADOS.......................................................................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6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3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RELATÓRIO DAS AÇÕES REALIZADAS....................................................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4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INDICADORES DE MONITORAMENTO........................................................</w:t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24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/>
                <w:b/>
                <w:bCs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/>
                <w:bCs/>
                <w:color w:val="FF3333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5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eastAsia="Calibri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INFORMAÇÕES SOBRE AUDITORIAS 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6</w:t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PRODUÇÃO DOS SERVIÇOS DE SAÚDE....................................…………..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29</w:t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  <w:t>7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DEMONSTRATIVO DO MONTANTE E FONTE DOS RECURSOS APLICADOS NO PERÍODO............................................................................</w:t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left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  <w:t>35</w:t>
            </w:r>
          </w:p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 Black" w:hAnsi="Arial Black" w:eastAsia="Bookman Old Style" w:cs="Arial"/>
                <w:b/>
                <w:b/>
                <w:bCs/>
                <w:i w:val="false"/>
                <w:i w:val="false"/>
                <w:iCs w:val="false"/>
                <w:caps w:val="false"/>
                <w:smallCaps w:val="false"/>
                <w:color w:val="FF3333"/>
                <w:spacing w:val="0"/>
                <w:sz w:val="20"/>
                <w:szCs w:val="20"/>
                <w:u w:val="none"/>
                <w:shd w:fill="auto" w:val="clear"/>
              </w:rPr>
            </w:pPr>
            <w:r>
              <w:rPr>
                <w:rFonts w:eastAsia="Bookman Old Style" w:cs="Arial" w:ascii="Arial Black" w:hAnsi="Arial Black"/>
                <w:b/>
                <w:bCs/>
                <w:i w:val="false"/>
                <w:iCs w:val="false"/>
                <w:caps w:val="false"/>
                <w:smallCaps w:val="false"/>
                <w:color w:val="FF3333"/>
                <w:spacing w:val="0"/>
                <w:sz w:val="20"/>
                <w:szCs w:val="20"/>
                <w:u w:val="none"/>
                <w:shd w:fill="auto" w:val="clear"/>
              </w:rPr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cs="Calibri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51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sz w:val="24"/>
                <w:szCs w:val="24"/>
                <w:shd w:fill="auto" w:val="clear"/>
              </w:rPr>
            </w:r>
          </w:p>
        </w:tc>
        <w:tc>
          <w:tcPr>
            <w:tcW w:w="823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360" w:before="0" w:after="0"/>
              <w:jc w:val="both"/>
              <w:rPr>
                <w:rFonts w:ascii="Arial" w:hAnsi="Arial" w:eastAsia="Bookman Old Style" w:cs="Calibri"/>
                <w:b/>
                <w:b/>
                <w:bCs/>
                <w:i w:val="false"/>
                <w:i w:val="false"/>
                <w:iCs w:val="false"/>
                <w:color w:val="FF3333"/>
                <w:sz w:val="24"/>
                <w:szCs w:val="24"/>
                <w:u w:val="none"/>
                <w:shd w:fill="auto" w:val="clear"/>
              </w:rPr>
            </w:pPr>
            <w:r>
              <w:rPr>
                <w:rFonts w:eastAsia="Bookman Old Style" w:cs="Calibri" w:ascii="Arial" w:hAnsi="Arial"/>
                <w:b/>
                <w:bCs/>
                <w:i w:val="false"/>
                <w:iCs w:val="false"/>
                <w:color w:val="FF3333"/>
                <w:sz w:val="24"/>
                <w:szCs w:val="24"/>
                <w:u w:val="none"/>
                <w:shd w:fill="auto" w:val="clear"/>
              </w:rPr>
            </w:r>
          </w:p>
        </w:tc>
        <w:tc>
          <w:tcPr>
            <w:tcW w:w="920" w:type="dxa"/>
            <w:tcBorders/>
            <w:vAlign w:val="center"/>
          </w:tcPr>
          <w:p>
            <w:pPr>
              <w:pStyle w:val="Contedodatabela"/>
              <w:widowControl w:val="false"/>
              <w:snapToGrid w:val="false"/>
              <w:spacing w:lineRule="auto" w:line="360" w:before="0" w:after="0"/>
              <w:jc w:val="center"/>
              <w:rPr>
                <w:rFonts w:ascii="Arial" w:hAnsi="Arial" w:cs="Calibri"/>
                <w:b w:val="false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b w:val="false"/>
                <w:bCs w:val="false"/>
                <w:color w:val="FF3333"/>
                <w:sz w:val="24"/>
                <w:szCs w:val="24"/>
                <w:shd w:fill="auto" w:val="clear"/>
              </w:rPr>
            </w:r>
          </w:p>
        </w:tc>
      </w:tr>
    </w:tbl>
    <w:p>
      <w:pPr>
        <w:pStyle w:val="Normal"/>
        <w:spacing w:lineRule="auto" w:line="360" w:before="0" w:after="0"/>
        <w:jc w:val="center"/>
        <w:rPr>
          <w:rFonts w:ascii="Arial" w:hAnsi="Arial" w:cs="Calibri"/>
          <w:sz w:val="24"/>
          <w:szCs w:val="24"/>
          <w:shd w:fill="auto" w:val="clear"/>
        </w:rPr>
      </w:pPr>
      <w:r>
        <w:rPr>
          <w:rFonts w:cs="Calibri" w:ascii="Arial" w:hAnsi="Arial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1. INTRODUÇÃO</w:t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 xml:space="preserve">Com o Terceiro Relatório Quadrimestral de Gestão/RQ de 2023, a Secretaria Municipal de Saúde/SMS de Poços de Caldas, cumprindo suas responsabilidades legais, de acordo com a Lei Complementar nº 141/2012, dando continuidade ao ciclo de relatórios quadrimestrais referentes ao ano de 2023. 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O conteúdo apresentado neste RQ, está definido pelo Art. 36 da referida Lei: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Montante e fonte dos recursos aplicados no período;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Auditorias realizadas ou em fase de execução no período e suas recomendações e determinações;</w:t>
      </w:r>
    </w:p>
    <w:p>
      <w:pPr>
        <w:pStyle w:val="Corpodotexto"/>
        <w:numPr>
          <w:ilvl w:val="0"/>
          <w:numId w:val="2"/>
        </w:numPr>
        <w:spacing w:lineRule="auto" w:line="360" w:before="0" w:after="0"/>
        <w:ind w:left="720" w:right="0" w:hanging="360"/>
        <w:jc w:val="both"/>
        <w:rPr>
          <w:rFonts w:ascii="Arial" w:hAnsi="Arial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hd w:fill="auto" w:val="clear"/>
        </w:rPr>
      </w:pPr>
      <w:r>
        <w:rPr>
          <w:rFonts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hd w:fill="auto" w:val="clear"/>
        </w:rPr>
        <w:t>Oferta e produção de serviços públicos na rede assistencial própria, contratada e conveniada, cotejando esses dados com os indicadores de saúde da população em seu âmbito de atuação.</w:t>
      </w:r>
    </w:p>
    <w:p>
      <w:pPr>
        <w:pStyle w:val="Corpodotexto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  <w:tab/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incluídas neste RQ a relação das atividades e ações realizadas pela SMS de Poços de Caldas à luz do que foi priorizado na Programação Anual de Saúde/PAS 2023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  <w:lang w:val="pt-PT"/>
        </w:rPr>
        <w:t>.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color w:val="auto"/>
          <w:sz w:val="24"/>
          <w:szCs w:val="24"/>
          <w:shd w:fill="auto" w:val="clear"/>
        </w:rPr>
      </w:pPr>
      <w:r>
        <w:rPr>
          <w:rFonts w:cs="Calibri" w:ascii="Calibri" w:hAnsi="Calibri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hd w:fill="auto" w:val="clear"/>
        </w:rPr>
        <w:t xml:space="preserve">2. </w:t>
      </w: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REDE FÍSICA DE SERVIÇOS PÚBLICOS DE SAÚDE – PRÓPRIOS E PRIVADOS CONTRATADOS</w:t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>A rede própria de assistência à Saúde do município é composta por: 39 equipes de Saúde da família,04 EAP (Equipe de Atenção Básica) 10 equipes de Saúde bucal e 2 unidades básicas convencionais; ainda consta com 01 CEO, equipe de consultório de rua, Centro de Atenção Especializada Saúde da Mulher e da Criança, 03 Núcleos de Especialidades, 02 Pronto Atendimento (UPA e Hospital Municipal Margarita Morales), rede de farmácias públicas, laboratório de análises clínicas, CEREST e serviço de SAE/CTA.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ab/>
        <w:t xml:space="preserve">O Sistema Único de Saúde/SUS de Poços de Caldas conta com serviços terceirizados que mantém convênio ou contrato com a Prefeitura: Hospital Santa Casa de Poços de Caldas; Hospital Santa Lúcia; APAE; Clínica Santa Clara (internação para dependentes químicos); FUNGOTAC, Cismarpa, Aphas, AADV e contratos para realização de Exames de apoio diagnóstico. 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 RELATÓRIO DAS AÇÕES REALIZADAS</w:t>
      </w:r>
    </w:p>
    <w:p>
      <w:pPr>
        <w:pStyle w:val="Corpodotexto"/>
        <w:spacing w:lineRule="auto" w:line="360" w:before="0" w:after="0"/>
        <w:jc w:val="both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3.1  Atenção Primária em Saúde</w:t>
      </w:r>
    </w:p>
    <w:p>
      <w:pPr>
        <w:pStyle w:val="Contedodatabela"/>
        <w:widowControl w:val="false"/>
        <w:numPr>
          <w:ilvl w:val="0"/>
          <w:numId w:val="3"/>
        </w:numPr>
        <w:suppressLineNumbers/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do Programa Mais Médicos para o Brasil;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do acompanhamento do Bolsa Família pelas equipes AB;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Ações do Programa Saúde na Escola em parceira Equipes de Saúde e Escolas Municipais e Estaduais;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Continuidade das reuniões com os grupos de trabalho e auxiliares administrativos, médicos, agentes comunitários de saúde, auxiliares de higienização e técnicos de enfermagem;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Reunião com o Grupo de Trabalho Intersetorial do PSE;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Reunião com os representantes das Escolas Estaduais e Municipais sobre o PSE;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Reuniões semanais dos profissionais da coordenação para organização do trabalho;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Participações nos conselhos: de saúde, da mulher, do idoso;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Reuniões mensais com os profissionais de apoio, tais como psicólogo, assistente social, professores de educação física, fisioterapeutas e farmacêuticos com o intuito de organização do processo de trabalho;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Reuniões da comissão Previne Brasil 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Realização do Evento Xô Dodói nas escolas CAIC, escola Pedro Afonso Junqueira e escola municipal João Pinheiro com o intuito da atualização de carteira de vacina das crianças/adolescentes e familiares;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sobre sífilis para médicos e enfermeiros da atenção básica;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dos técnicos de enfermagem, acolhimento: Fortalecendo nossas habilidades de atendimento;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sobre os indicadores do Previne Brasil e o registro no PEC para médicos e enfermeiros;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Elaboração do Protocolo Municipal de Práticas Integrativas e Complementares;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 novo protocolo municipal de Pré-Natal para médicos e enfermeiros;</w:t>
      </w:r>
    </w:p>
    <w:p>
      <w:pPr>
        <w:pStyle w:val="Normal"/>
        <w:widowControl w:val="false"/>
        <w:numPr>
          <w:ilvl w:val="0"/>
          <w:numId w:val="3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com os auxiliares administrativos sobre acolhimento e escuta qualificada;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/>
        <w:ind w:left="60" w:right="645" w:hanging="0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Standard"/>
        <w:widowControl w:val="false"/>
        <w:suppressAutoHyphens w:val="true"/>
        <w:spacing w:lineRule="auto" w:line="360" w:before="0" w:after="0"/>
        <w:jc w:val="center"/>
        <w:textAlignment w:val="baseline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AÇÕES EM DESTAQUE</w:t>
      </w:r>
    </w:p>
    <w:p>
      <w:pPr>
        <w:pStyle w:val="Standard"/>
        <w:widowControl w:val="false"/>
        <w:suppressAutoHyphens w:val="true"/>
        <w:spacing w:lineRule="auto" w:line="360" w:before="0" w:after="0"/>
        <w:jc w:val="center"/>
        <w:textAlignment w:val="baseline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Realização do Evento Xô Dodói nas escolas CAIC, escola Pedro Afonso Junqueira e escola municipal João Pinheiro com o intuito da atualização de carteira de vacina das crianças/adolescentes e familiares;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com os auxiliares administrativos sobre acolhimento e escuta qualificada;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 novo protocolo municipal de Pré-Natal para médicos e enfermeiros;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Realizada capacitação dos técnicos de enfermagem, acolhimento: Fortalecendo nossas habilidades de atendimento;</w:t>
      </w:r>
    </w:p>
    <w:p>
      <w:pPr>
        <w:pStyle w:val="Normal"/>
        <w:widowControl w:val="false"/>
        <w:numPr>
          <w:ilvl w:val="0"/>
          <w:numId w:val="14"/>
        </w:numPr>
        <w:suppressAutoHyphens w:val="true"/>
        <w:overflowPunct w:val="false"/>
        <w:bidi w:val="0"/>
        <w:spacing w:lineRule="auto" w:line="360" w:before="0" w:after="0"/>
        <w:ind w:left="6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  <w:t>Elaboração do Protocolo Municipal de Práticas Integrativas e Complementares;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overflowPunct w:val="false"/>
        <w:bidi w:val="0"/>
        <w:spacing w:lineRule="auto" w:line="360" w:before="0" w:after="0"/>
        <w:ind w:left="0" w:right="645" w:hanging="0"/>
        <w:jc w:val="both"/>
        <w:textAlignment w:val="baseline"/>
        <w:rPr>
          <w:rFonts w:ascii="Arial" w:hAnsi="Arial" w:cs="Calibri"/>
          <w:b w:val="false"/>
          <w:b w:val="false"/>
          <w:bCs w:val="false"/>
          <w:color w:val="auto"/>
          <w:sz w:val="22"/>
          <w:szCs w:val="22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2"/>
          <w:szCs w:val="22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cs="Calibri"/>
          <w:b/>
          <w:b/>
          <w:bCs/>
          <w:color w:val="000000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3.2.CONTROLE E AVALIAÇÃO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3.2.1.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CENTRAL DE AGENDAMENTO/SISREG: 39.961 consultas agendadas e 31.009 confirmados no período, 32.287 exames agendados e 25.060 confirmados;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3.2.2. CADASTRO DE ESTABELECIMENTOS DE SAÚDE/CNES: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312 </w:t>
      </w: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Inclusões, 185 Exclusões cadastrais, 93 Alterações, 80 atendimentos presencial;</w:t>
      </w:r>
    </w:p>
    <w:p>
      <w:pPr>
        <w:pStyle w:val="Normal"/>
        <w:numPr>
          <w:ilvl w:val="0"/>
          <w:numId w:val="4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670 solicitações atendidas.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left"/>
        <w:rPr>
          <w:rFonts w:ascii="Arial" w:hAnsi="Arial" w:eastAsia="Bookman Old Style" w:cs="Calibri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3.2.3. JUNTA REGULADORA DA REDE DE ATENÇÃO À PESSOA COM DEFICIÊNCIA: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i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488 encaminhamentos sendo: 111 encaminhamentos para a APAE, 53 encaminhamentos para ADEFIP, 5 encaminhamentos para a AADV, 99 encaminhamentos para a SASA, 1 encaminhamento para o Conselho Tutelar, 4 CIPTEA, 143 encaminhamentos para REDE.</w:t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i w:val="false"/>
          <w:i w:val="false"/>
          <w:iCs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72 pacientes em atendimento em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Equoterapia</w:t>
      </w:r>
      <w:r>
        <w:rPr>
          <w:rFonts w:eastAsia="Bookman Old Style" w:cs="Calibri" w:ascii="Arial" w:hAnsi="Arial"/>
          <w:b w:val="false"/>
          <w:i w:val="false"/>
          <w:iCs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, no terceiro quadrimestre de 2023.</w:t>
      </w:r>
    </w:p>
    <w:p>
      <w:pPr>
        <w:pStyle w:val="Normal"/>
        <w:spacing w:lineRule="auto" w:line="360" w:before="0" w:after="0"/>
        <w:ind w:left="0" w:right="0" w:hanging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ab/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3.2.4. MONITORAMENTO DE CONTRATOS: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Contratos formalizados 06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Termos Aditivos finalizados 12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Credenciamento Tabelas diferenciadas 03</w:t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Contratos Tabelas SUS 01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736" w:leader="none"/>
        </w:tabs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3.2.5. PROGRAMAÇÃO PACTUADA INTEGRADA – PPI:</w:t>
      </w:r>
    </w:p>
    <w:p>
      <w:pPr>
        <w:pStyle w:val="Normal"/>
        <w:numPr>
          <w:ilvl w:val="0"/>
          <w:numId w:val="7"/>
        </w:numPr>
        <w:tabs>
          <w:tab w:val="clear" w:pos="720"/>
          <w:tab w:val="left" w:pos="736" w:leader="none"/>
        </w:tabs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Acompanhamento da movimentação financeira dos municípios da microrregião e realização de contato com a central SISREG para agendamento de procedimentos ambulatoriais de 14 municípios pactuados em Poços de Caldas: 378 agendamentos </w:t>
      </w: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de consultas e exames no período.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3.2.6. REGULAÇÃO/SUPERVISÃO DE FISIOTERAPIA E PROCEDIMENTOS AMBULATORIAIS: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FFFF00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FFFF00" w:val="clear"/>
        </w:rPr>
      </w:r>
    </w:p>
    <w:p>
      <w:pPr>
        <w:pStyle w:val="Normal"/>
        <w:numPr>
          <w:ilvl w:val="0"/>
          <w:numId w:val="8"/>
        </w:numPr>
        <w:spacing w:lineRule="auto" w:line="360" w:before="0" w:after="0"/>
        <w:jc w:val="both"/>
        <w:rPr/>
      </w:pPr>
      <w:r>
        <w:rPr>
          <w:rFonts w:eastAsia="Bookman Old Style" w:cs="Calibri" w:ascii="Arial;Helvetica;sans-serif" w:hAnsi="Arial;Helvetica;sans-serif"/>
          <w:b w:val="false"/>
          <w:bCs w:val="false"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 xml:space="preserve">4107 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autorizações para tratamento fisioterapêutico, que se converteram em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22222"/>
          <w:spacing w:val="0"/>
          <w:sz w:val="24"/>
        </w:rPr>
        <w:t xml:space="preserve">49.020 </w:t>
      </w:r>
      <w:r>
        <w:rPr/>
        <w:t xml:space="preserve"> </w:t>
      </w:r>
      <w:r>
        <w:rPr>
          <w:rFonts w:eastAsia="Bookman Old Style" w:cs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sessões de fisioterapia;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tabs>
          <w:tab w:val="clear" w:pos="720"/>
          <w:tab w:val="left" w:pos="630" w:leader="none"/>
          <w:tab w:val="left" w:pos="705" w:leader="none"/>
        </w:tabs>
        <w:spacing w:lineRule="auto" w:line="360" w:before="0" w:after="0"/>
        <w:jc w:val="left"/>
        <w:rPr>
          <w:rFonts w:ascii="Arial" w:hAnsi="Arial"/>
          <w:b/>
          <w:b/>
          <w:bCs/>
          <w:color w:val="auto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3.2.7. </w:t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CENTRAL DE INTERNAÇÕES ELETIVAS E DE URGÊNCIA – SUSFÁCIL (internação clínica, cirurgia geral, oncologia, cardiologia, etc): 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Total de encaminhamentos para cirurgias: 4.522 sendo 3.276 para Hospital Santa Casa e 1.246 para Hospital Santa Lúcia;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Número de laudos eletivos de internação e cirurgias digitados no SUSFACIL: </w:t>
      </w:r>
      <w:r>
        <w:rPr>
          <w:rFonts w:eastAsia="Bookman Old Style"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>4.522.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>3.2.8. MUTIRÕES DE CIRURGIAS  REALIZADAS EM CARÁTER ELETIVO: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encaminhados 1.383 laudos de AIH's, sendo 938 encaminhados para Hospital Santa Casa e 445 para Hospital Santa Lúcia;</w:t>
      </w:r>
    </w:p>
    <w:p>
      <w:pPr>
        <w:pStyle w:val="Normal"/>
        <w:numPr>
          <w:ilvl w:val="0"/>
          <w:numId w:val="9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Foram realizados no período 1.026 procedimentos, sendo 644 realizados pelo Hospital Santa Casa e 382 pelo Hospital Santa Lúcia.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>3.2.9. PROCESSAMENTO E FATURAMENTO SUS:</w:t>
      </w:r>
    </w:p>
    <w:p>
      <w:pPr>
        <w:pStyle w:val="Normal"/>
        <w:numPr>
          <w:ilvl w:val="0"/>
          <w:numId w:val="1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Envio de 04 arquivos consolidados dos serviços prestados pela rede própria e credenciada.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3.2.10. TRATAMENTO FORA DE DOMICILIO/ TFD:</w:t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shd w:fill="auto" w:val="clear"/>
        </w:rPr>
        <w:t>AÇÃO REALIZADA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Entrada de 103 novos laudos para autorização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Número de novos pacientes que foram encaminhados para tratamento em outros municípios: 121</w:t>
      </w:r>
    </w:p>
    <w:p>
      <w:pPr>
        <w:pStyle w:val="Normal"/>
        <w:numPr>
          <w:ilvl w:val="0"/>
          <w:numId w:val="1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Agendamentos realizados para tratamento fora domicílio: 1070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Manutenção da agenda de entrada e saídas de documentos referentes a TFD;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 de SIGRAH/BH, cidades com atendimento em MG: Passos, Alfenas, Pouso Alegre, Itajubá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 referente aos atendimentos no estado de São Paulo;</w:t>
      </w:r>
    </w:p>
    <w:p>
      <w:pPr>
        <w:pStyle w:val="Normal"/>
        <w:numPr>
          <w:ilvl w:val="0"/>
          <w:numId w:val="15"/>
        </w:numPr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Agendamento de transportes.</w:t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3.3. VIGILÂNCIA SANITÁRIA</w:t>
      </w:r>
    </w:p>
    <w:p>
      <w:pPr>
        <w:pStyle w:val="Normal"/>
        <w:spacing w:lineRule="auto" w:line="360" w:before="0" w:after="0"/>
        <w:jc w:val="center"/>
        <w:rPr/>
      </w:pPr>
      <w:r>
        <w:rPr>
          <w:rStyle w:val="Fontepargpadro"/>
          <w:rFonts w:cs="Calibri" w:ascii="Arial" w:hAnsi="Arial"/>
          <w:b/>
          <w:bCs/>
          <w:color w:val="000000"/>
          <w:sz w:val="24"/>
          <w:szCs w:val="24"/>
          <w:shd w:fill="auto" w:val="clear"/>
          <w:lang w:val="pt-BR"/>
        </w:rPr>
        <w:t>AÇÕES REALIZADAS:</w:t>
      </w:r>
    </w:p>
    <w:p>
      <w:pPr>
        <w:pStyle w:val="Normal"/>
        <w:spacing w:lineRule="auto" w:line="360" w:before="0" w:after="0"/>
        <w:jc w:val="both"/>
        <w:rPr/>
      </w:pPr>
      <w:r>
        <w:rPr>
          <w:rStyle w:val="Fontepargpadro"/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  <w:lang w:val="pt-BR"/>
        </w:rPr>
        <w:t xml:space="preserve">1- Atividades educativas para a população e setor regulado – caráter de orientação e informação, comunicação de risco sanitário de produtos e serviços para a população, capacitação de profissionais.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sanitárias aos estabelecimentos de saúde referente as normas da VISA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ao público sobre os protocolos referentes da VISA, via telefone</w:t>
      </w:r>
    </w:p>
    <w:p>
      <w:pPr>
        <w:pStyle w:val="Corpodotexto"/>
        <w:numPr>
          <w:ilvl w:val="0"/>
          <w:numId w:val="16"/>
        </w:numPr>
        <w:spacing w:lineRule="auto" w:line="240" w:before="0" w:after="200"/>
        <w:ind w:left="787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Orientações aos estabelecimentos de comércio e produção de alimentos para orientações sanitárias;</w:t>
      </w:r>
    </w:p>
    <w:p>
      <w:pPr>
        <w:pStyle w:val="Corpodotexto"/>
        <w:widowControl/>
        <w:shd w:val="clear" w:fill="FFFFFF"/>
        <w:bidi w:val="0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Cursos de capacitação online (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06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): em videoconferência com a SES/MG, sobre segurança do paciente, normas de estabelecimentos de interesse à saúde, oficina VIGIAGUA, Oficina VIGIMINAS, etc.</w:t>
      </w:r>
    </w:p>
    <w:p>
      <w:pPr>
        <w:pStyle w:val="Normal"/>
        <w:shd w:val="clear" w:fill="FFFFFF"/>
        <w:spacing w:lineRule="auto" w:line="24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Normal"/>
        <w:shd w:val="clear" w:fill="FFFFFF"/>
        <w:spacing w:lineRule="auto" w:line="24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Corpodotexto"/>
        <w:shd w:val="clear" w:fill="FFFFFF"/>
        <w:spacing w:lineRule="auto" w:line="24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shd w:fill="auto" w:val="clear"/>
          <w:em w:val="none"/>
        </w:rPr>
        <w:t xml:space="preserve">Ações administrativas e de fiscalização: 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Elaboração de diagnóstico da Vigilância Sanitária e preenchimento de planilha fornecida pela SES/MG para participação do Plano Estadual de VIGILANCIA EM SAÚDE.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Análise e utilização do sistema para liberação dos alvarás sanitários via REDESIM.</w:t>
      </w:r>
    </w:p>
    <w:p>
      <w:pPr>
        <w:pStyle w:val="Corpodotexto"/>
        <w:widowControl/>
        <w:numPr>
          <w:ilvl w:val="0"/>
          <w:numId w:val="17"/>
        </w:numPr>
        <w:shd w:val="clear" w:fill="FFFFFF"/>
        <w:spacing w:lineRule="auto" w:line="240" w:before="0" w:after="0"/>
        <w:ind w:left="720" w:right="0" w:hanging="360"/>
        <w:jc w:val="both"/>
        <w:rPr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Pareceres e declarações sanitárias expedidas: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04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Recebimento e análise de projetos arquitetônicos: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realizada a avaliação e análise de projetos arquitetônicos pela arquiteta do setor cujos estabelecimentos estão sujeitos às normas da vigilância sanitária, num total de 21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(vinte e um)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projetos neste quadrimestre.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2 palestras de orientações sanitárias – realizadas nos meses de agosto e novembro de 2023. Uma capacitação aos profissionais da rede SUS de odontologia e 01 palestra sobre normas de vigilância sanitária para bares e lanchonetes.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18"/>
        </w:numPr>
        <w:shd w:val="clear" w:fill="FFFFFF"/>
        <w:spacing w:lineRule="auto" w:line="240" w:before="0" w:after="0"/>
        <w:ind w:left="720" w:right="0" w:hanging="36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Utilização do sistema integrado com a JUCEMG para liberação de alvará sanitário online. (REDE SIM) aos estabelecimentos de baixo e médio risco sanitário.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Preenchimento pelos fiscais  de 156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formulários on-line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de VIG RISCO após as inspeções sanitárias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color w:val="auto"/>
          <w:shd w:fill="auto" w:val="clear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→ </w:t>
      </w:r>
      <w:r>
        <w:rPr>
          <w:rFonts w:ascii="Arial" w:hAnsi="Arial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Fiscalização de estabelecimentos noturnos: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72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center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AÇÕES EM DESTAQUE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1-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Atender e acolher as denúncias, reclamações e demandas relacionadas ao risco em Vigilância Sanitária do município:</w:t>
      </w:r>
    </w:p>
    <w:p>
      <w:pPr>
        <w:pStyle w:val="Corpodotexto"/>
        <w:widowControl/>
        <w:numPr>
          <w:ilvl w:val="0"/>
          <w:numId w:val="19"/>
        </w:numPr>
        <w:shd w:val="clear" w:fill="FFFFFF"/>
        <w:spacing w:lineRule="auto" w:line="240" w:before="0" w:after="0"/>
        <w:ind w:left="720" w:right="0" w:hanging="36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Recebimento e atendimento de 17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denúncias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.</w:t>
      </w:r>
    </w:p>
    <w:p>
      <w:pPr>
        <w:pStyle w:val="Corpodotexto"/>
        <w:widowControl/>
        <w:numPr>
          <w:ilvl w:val="0"/>
          <w:numId w:val="0"/>
        </w:numPr>
        <w:shd w:val="clear" w:fill="FFFFFF"/>
        <w:spacing w:lineRule="auto" w:line="240" w:before="0" w:after="0"/>
        <w:ind w:left="72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2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- Atender e acolher as denúncias, reclamações e demandas relacionadas ao risco em Vigilância Sanitárias oriundas do nível Central (Notificação da Gerência Colegiada DVA/DVMC) e das Resoluções Especificas da ANVISA (RE-ANVISA)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: 55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spacing w:lineRule="auto" w:line="240" w:before="0" w:after="20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- Recebimento e atendimento de notificações DVA –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30</w:t>
      </w:r>
    </w:p>
    <w:p>
      <w:pPr>
        <w:pStyle w:val="Corpodotexto"/>
        <w:spacing w:lineRule="auto" w:line="240" w:before="0" w:after="20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- Recebimento e atendimento de notificações DVMC –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 19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Recebimento e atendimento as Resoluções Especificas/ANVISA –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6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3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Alvarás Sanitários liberados e renovados em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134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estabelecimentos (saúde, higiene, alimentos); Realizadas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400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inspeções sanitárias em estabelecimentos no quadrimestre.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Perfazendo: 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color w:val="000000"/>
          <w:sz w:val="24"/>
          <w:szCs w:val="24"/>
          <w:shd w:fill="auto" w:val="clear"/>
        </w:rPr>
        <w:t>ÁREA DE ALIMENTOS – i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nspeção sanitária em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193,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estabelecimentos, e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35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 alvarás sanitários liberado e renovados.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ÁREA DE SAÚDE/HIGIENE –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Inspeção sanitária em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207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estabelecimentos e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99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 alvarás sanitários liberados e renovados.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4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 xml:space="preserve">- 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single"/>
          <w:shd w:fill="auto" w:val="clear"/>
          <w:em w:val="none"/>
        </w:rPr>
        <w:t>Fiscalização Sanitária de Eventos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  <w:t>: realizadas atividades de atendimentos de denúncias de estabelecimentos noturnos e fiscalização de eventos nos finais de semana: 24 vistorias.</w:t>
      </w:r>
    </w:p>
    <w:p>
      <w:pPr>
        <w:pStyle w:val="Corpodotexto"/>
        <w:widowControl/>
        <w:shd w:val="clear" w:fill="FFFFFF"/>
        <w:spacing w:lineRule="auto" w:line="240" w:before="0" w:after="0"/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auto"/>
          <w:spacing w:val="0"/>
          <w:sz w:val="24"/>
          <w:szCs w:val="24"/>
          <w:u w:val="none"/>
          <w:shd w:fill="auto" w:val="clear"/>
          <w:em w:val="none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Aplicação de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8 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notificações aos estabelecimentos;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Abertura de processo administrativo sanitário: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00</w:t>
      </w:r>
    </w:p>
    <w:p>
      <w:pPr>
        <w:pStyle w:val="Normal"/>
        <w:spacing w:lineRule="auto" w:line="240" w:before="0" w:after="20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 w:val="false"/>
        <w:tabs>
          <w:tab w:val="clear" w:pos="720"/>
          <w:tab w:val="left" w:pos="30" w:leader="none"/>
        </w:tabs>
        <w:suppressAutoHyphens w:val="true"/>
        <w:overflowPunct w:val="false"/>
        <w:bidi w:val="0"/>
        <w:spacing w:lineRule="auto" w:line="360" w:before="0" w:after="0"/>
        <w:ind w:left="0" w:right="0" w:firstLine="15"/>
        <w:jc w:val="left"/>
        <w:rPr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ab/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</w:rPr>
        <w:t xml:space="preserve">3.4. </w:t>
      </w:r>
      <w:r>
        <w:rPr>
          <w:rFonts w:eastAsia="Bookman Old Style" w:cs="Calibri" w:ascii="Arial" w:hAnsi="Arial"/>
          <w:b/>
          <w:bCs/>
          <w:caps/>
          <w:color w:val="000000"/>
          <w:sz w:val="24"/>
          <w:szCs w:val="24"/>
          <w:shd w:fill="auto" w:val="clear"/>
        </w:rPr>
        <w:t>Vigilância Epidemiológica</w:t>
      </w:r>
    </w:p>
    <w:p>
      <w:pPr>
        <w:pStyle w:val="Normal"/>
        <w:spacing w:lineRule="auto" w:line="360" w:before="0" w:after="0"/>
        <w:rPr>
          <w:rFonts w:ascii="Arial" w:hAnsi="Arial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3.4.1. SISTEMA DE INFORMAÇÃO E SITUAÇÃO DE SAÚDE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MDDA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(Monitoramento das doenças diarreicas agudas):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3.609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casos notificados através das unidades sentinelas para o monitoramento.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RCBP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(Registro de Câncer de Base Populacional): Não houve coleta de dados, somente atualizações do sistema.</w:t>
      </w:r>
    </w:p>
    <w:p>
      <w:pPr>
        <w:pStyle w:val="Contedodatabela"/>
        <w:numPr>
          <w:ilvl w:val="0"/>
          <w:numId w:val="12"/>
        </w:numPr>
        <w:spacing w:lineRule="auto" w:line="360" w:before="0" w:after="0"/>
        <w:jc w:val="left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SINASC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(Sistema de Informação de Nascidos Vivos):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535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nascidos vivos residentes durante o período. </w:t>
      </w:r>
    </w:p>
    <w:p>
      <w:pPr>
        <w:pStyle w:val="Corpodotexto"/>
        <w:numPr>
          <w:ilvl w:val="0"/>
          <w:numId w:val="12"/>
        </w:numPr>
        <w:spacing w:lineRule="auto" w:line="360" w:before="0" w:after="0"/>
        <w:ind w:left="720" w:right="0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SIM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(Sistema de Mortalidade): Ocorreram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581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óbitos no município dos quais: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465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são residentes,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09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fetais,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01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infantil,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13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mulher em idade fértil, </w:t>
      </w:r>
      <w:r>
        <w:rPr>
          <w:rFonts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83</w:t>
      </w:r>
      <w:r>
        <w:rPr>
          <w:rFonts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com causa indeterminada. 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SINAN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 (Sistema de Informação de Agravo de Notificação):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 xml:space="preserve">971 </w:t>
      </w:r>
      <w:r>
        <w:rPr>
          <w:rFonts w:ascii="Arial" w:hAnsi="Arial"/>
          <w:color w:val="000000"/>
          <w:sz w:val="24"/>
          <w:szCs w:val="24"/>
          <w:shd w:fill="auto" w:val="clear"/>
        </w:rPr>
        <w:t xml:space="preserve">Agravos notificados e acompanhados por esta vigilância (OBS: dados sujeito à alteração) </w:t>
      </w:r>
      <w:r>
        <w:rPr>
          <w:rFonts w:ascii="Arial" w:hAnsi="Arial"/>
          <w:i/>
          <w:iCs/>
          <w:color w:val="000000"/>
          <w:sz w:val="24"/>
          <w:szCs w:val="24"/>
          <w:shd w:fill="auto" w:val="clear"/>
        </w:rPr>
        <w:t>Quadro das notificações em anexo: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IMUNIZAÇÃO: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Crie: Análise, registro e envio de Processo de solicitações de vacinas especiais (96 processos);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Notificações de Eventos Adversos;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358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 Notificações e Investigação de Acidentes Antirrábicos com Busca Ativa e notificações de Animais Peçonhentos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Rede de Frio: controle de estoque e distribuição de imunobiológicos para 22 salas de vacina;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Supervisão técnica da Superintendência Regional de Saúde de Pouso Alegre, nas salas de vacina do município e na rede de Frio com a finalidade de verificar o cumprimento das normas do PNI (Programa Nacional de Imunização) em relação aos aspectos como área física, qualidade de atendimento, qualidade técnica e profissional para o desenvolvimento das ações de imunização, conservação e transporte de imunobiológicos;</w:t>
      </w:r>
    </w:p>
    <w:p>
      <w:pPr>
        <w:pStyle w:val="Normal"/>
        <w:numPr>
          <w:ilvl w:val="0"/>
          <w:numId w:val="12"/>
        </w:numPr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Em Novembro foram realizadas visitas nas creches e escolas municipais pelas equipes da AB para intensificar as ações da multivacinação, tendo como resultado 44 instituições visitadas, com 11.359 crianças e adolescentes matriculados, sendo 2.023 cartões avaliados e 348 crianças vacinadas.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</w:r>
    </w:p>
    <w:p>
      <w:pPr>
        <w:pStyle w:val="Normal"/>
        <w:widowControl/>
        <w:numPr>
          <w:ilvl w:val="0"/>
          <w:numId w:val="0"/>
        </w:numPr>
        <w:ind w:left="0" w:right="0" w:hanging="0"/>
        <w:jc w:val="both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Capacitações/reuniões: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2º Capacitação em Sala de Vacina (40 horas) para 16 servidores, Enfermeiros e Técnicos de Enfermagem da Atenção Básica do município de Poços de Caldas, realizada no Sala de Capacitação do DME e no salão norte da Urca de 8:00 às 17:00 horas.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Oficina de Microplanejamento de AVAQ´S (Atividades de vacinação de Alta Qualidade) realizada pela Superintendência Regional de Saúde de Pouso Alegre.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Webconferência sobre a Campanha de multivacinação e introdução do Microplanejamento de  AVAQ´S (Atividades de vacinação de Alta Qualidade).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Novembro Campanha de Multivacinação 2023 para Crianças e Adolescentes, Participação no Simpósio realizado no SAE/CTA de IST´s;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Em 08 de Novembro realizado na Secretária de Educação reunião com os diretores de Creches e Escolas para instruções sobre Ofício Circular SES/SUBVS no.4/2023 que trata do fomento às ações de promoção da saúde e prevenção de doenças imunopreveníveis nas escolas em Minas Gerais, 2023 e a parceria entre educação e saúde para melhorias das Coberturas Vacinais;</w:t>
      </w:r>
    </w:p>
    <w:p>
      <w:pPr>
        <w:pStyle w:val="Normal"/>
        <w:widowControl/>
        <w:numPr>
          <w:ilvl w:val="0"/>
          <w:numId w:val="12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4"/>
          <w:szCs w:val="24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Reunião mensal do Comitê de Mortalidade Materno, Infantil e Fetal.</w:t>
      </w:r>
    </w:p>
    <w:p>
      <w:pPr>
        <w:pStyle w:val="Normal"/>
        <w:widowControl/>
        <w:ind w:left="0" w:right="0" w:hanging="0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shd w:fill="auto" w:val="clear"/>
        </w:rPr>
      </w:pPr>
      <w:r>
        <w:rPr>
          <w:rFonts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jc w:val="both"/>
        <w:rPr>
          <w:rFonts w:ascii="Arial" w:hAnsi="Arial"/>
          <w:b/>
          <w:b/>
          <w:bCs/>
          <w:i w:val="false"/>
          <w:i w:val="false"/>
          <w:iCs w:val="false"/>
          <w:color w:val="auto"/>
          <w:sz w:val="24"/>
          <w:szCs w:val="24"/>
          <w:u w:val="single"/>
          <w:shd w:fill="auto" w:val="clear"/>
        </w:rPr>
      </w:pPr>
      <w:r>
        <w:rPr>
          <w:rFonts w:ascii="Arial" w:hAnsi="Arial"/>
          <w:b/>
          <w:bCs/>
          <w:i w:val="false"/>
          <w:iCs w:val="false"/>
          <w:color w:val="000000"/>
          <w:sz w:val="24"/>
          <w:szCs w:val="24"/>
          <w:u w:val="singl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3.5 . Vigilância em Saúde Ambiental</w:t>
      </w:r>
    </w:p>
    <w:p>
      <w:pPr>
        <w:pStyle w:val="Contedodatabela"/>
        <w:jc w:val="center"/>
        <w:rPr>
          <w:rFonts w:ascii="Calibri" w:hAnsi="Calibri"/>
          <w:b/>
          <w:b/>
          <w:bCs/>
          <w:color w:val="auto"/>
          <w:shd w:fill="auto" w:val="clear"/>
        </w:rPr>
      </w:pPr>
      <w:r>
        <w:rPr>
          <w:rFonts w:ascii="Calibri" w:hAnsi="Calibri"/>
          <w:b/>
          <w:bCs/>
          <w:color w:val="000000"/>
          <w:shd w:fill="auto" w:val="clear"/>
        </w:rPr>
        <w:t>AÇÃO REALIZADA</w:t>
      </w:r>
    </w:p>
    <w:p>
      <w:pPr>
        <w:pStyle w:val="Contedodatabela"/>
        <w:jc w:val="center"/>
        <w:rPr>
          <w:rFonts w:ascii="Calibri" w:hAnsi="Calibri"/>
          <w:b/>
          <w:b/>
          <w:bCs/>
          <w:color w:val="auto"/>
          <w:shd w:fill="auto" w:val="clear"/>
        </w:rPr>
      </w:pPr>
      <w:r>
        <w:rPr>
          <w:rFonts w:ascii="Calibri" w:hAnsi="Calibri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111131 visitas domiciliares, divididas em 02 ciclos bimestrais, para eliminação de criadouros do mosquito Aedes aegypti, orientação aos moradores, e tratamento químico, quando necessário;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294 visitas realizadas em Pontos Estratégicos, imóveis onde há concentração de depósitos do tipo preferencial para a desova da fêmea do Aedes aegypti ou especialmente vulneráveis a introdução do setor.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7952 supervisões de campo de visitas domiciliares realizadas pelos Agentes de Combate às Endemias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205 visitas domiciliares de pesquisa vetorial especial para eliminação de criadouros do mosquito Aedes aegypi em localidades com casos suspeitos de dengue.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Programa Permanente de Controle Reprodutivo de Cães e Gatos: 1271 cirurgias de castração realizadas.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10 atividades de bloqueio de transmissão através de UBV portátil (fumacê) nas localidades com confirmação de casos de dengue e chickungunya.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color w:val="auto"/>
          <w:szCs w:val="22"/>
          <w:shd w:fill="auto" w:val="clear"/>
          <w:lang w:eastAsia="en-US"/>
        </w:rPr>
      </w:pPr>
      <w:r>
        <w:rPr>
          <w:rFonts w:eastAsia="Calibri" w:cs="Arial" w:ascii="Arial" w:hAnsi="Arial"/>
          <w:color w:val="000000"/>
          <w:szCs w:val="22"/>
          <w:shd w:fill="auto" w:val="clear"/>
          <w:lang w:eastAsia="en-US"/>
        </w:rPr>
        <w:t>Atividades de mobilização social e educação em saúde sobre combate às arboviroses nas escolas públicas do município.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141 amostras de águas analisados, pelo Programa Vigiágua, para os parâmetros, Cloro Residual Livre, turbidez, Fluoreto, Coliformes totais e E. Coli.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24.922 animais vacinados através da Campanha de Vacinação antirrábica de cães e gatos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7 capturas de morcegos pela Vigilância de Quirópteros para diagnóstico da presença do vírus da raiva;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32 visitas de atendimentos de busca ativa de escorpiões com captura de exemplares e orientações aos moradores.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11 atividades de coleta de carrapatos para diagnóstico da bactéria transmissora da febre maculosa</w:t>
      </w:r>
    </w:p>
    <w:p>
      <w:pPr>
        <w:pStyle w:val="Contedodatabela"/>
        <w:numPr>
          <w:ilvl w:val="0"/>
          <w:numId w:val="20"/>
        </w:numPr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  <w:t>28 animais de grande porte recolhidos em vias públicas do município.</w:t>
      </w:r>
    </w:p>
    <w:p>
      <w:pPr>
        <w:pStyle w:val="Contedodatabela"/>
        <w:jc w:val="both"/>
        <w:rPr>
          <w:rFonts w:ascii="Arial" w:hAnsi="Arial" w:eastAsia="Calibri" w:cs="Arial"/>
          <w:b w:val="false"/>
          <w:b w:val="false"/>
          <w:bCs w:val="false"/>
          <w:color w:val="auto"/>
          <w:sz w:val="24"/>
          <w:szCs w:val="24"/>
          <w:shd w:fill="auto" w:val="clear"/>
          <w:lang w:eastAsia="en-US"/>
        </w:rPr>
      </w:pPr>
      <w:r>
        <w:rPr>
          <w:rFonts w:eastAsia="Calibri" w:cs="Arial" w:ascii="Arial" w:hAnsi="Arial"/>
          <w:b w:val="false"/>
          <w:bCs w:val="false"/>
          <w:color w:val="000000"/>
          <w:sz w:val="24"/>
          <w:szCs w:val="24"/>
          <w:shd w:fill="auto" w:val="clear"/>
          <w:lang w:eastAsia="en-US"/>
        </w:rPr>
      </w:r>
    </w:p>
    <w:p>
      <w:pPr>
        <w:pStyle w:val="Corpodotexto"/>
        <w:spacing w:lineRule="auto" w:line="360" w:before="0" w:after="0"/>
        <w:jc w:val="both"/>
        <w:rPr>
          <w:rFonts w:ascii="Calibri" w:hAnsi="Calibri" w:eastAsia="Calibri" w:cs="Calibri"/>
          <w:b/>
          <w:b/>
          <w:bCs/>
          <w:color w:val="auto"/>
          <w:sz w:val="28"/>
          <w:szCs w:val="28"/>
          <w:shd w:fill="auto" w:val="clear"/>
          <w:lang w:eastAsia="en-US"/>
        </w:rPr>
      </w:pPr>
      <w:r>
        <w:rPr>
          <w:rFonts w:eastAsia="Calibri" w:cs="Calibri" w:ascii="Calibri" w:hAnsi="Calibri"/>
          <w:b/>
          <w:bCs/>
          <w:color w:val="000000"/>
          <w:sz w:val="28"/>
          <w:szCs w:val="28"/>
          <w:shd w:fill="auto" w:val="clear"/>
          <w:lang w:eastAsia="en-US"/>
        </w:rPr>
        <w:t>3.6. CENTRO DE REFERÊNCIA A SAÚDE DO TRABALHADOR/CEREST</w:t>
      </w:r>
    </w:p>
    <w:p>
      <w:pPr>
        <w:pStyle w:val="Contedodatabela"/>
        <w:pageBreakBefore w:val="false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  <w:t>AÇÃO REALIZADA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Termos de Inspeção  -  104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Autos de Infração  -  00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Autos de Imposição de Penalidade  - 0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Notificações SINAN  -  338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Investigações  -  140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Atendimento de denúncia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Empresas atendidas  no Cerest  -  60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Diligências  -  110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TAC / Denuncia MPT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Empresas novas cadastradas  -  10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Relatórios de Inspeção   -  15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 xml:space="preserve">Novos pacientes cadastrados  -   50 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Sessões de psicoterapia  - 52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Consultas médicas - 117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Audiometria  tonal/vocal e Imitanciometro  - 0</w:t>
      </w:r>
    </w:p>
    <w:p>
      <w:pPr>
        <w:pStyle w:val="Contedodatabela"/>
        <w:numPr>
          <w:ilvl w:val="0"/>
          <w:numId w:val="21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>Fisioterapia -  750 sessões</w:t>
      </w:r>
    </w:p>
    <w:p>
      <w:pPr>
        <w:pStyle w:val="Contedodatabela"/>
        <w:numPr>
          <w:ilvl w:val="0"/>
          <w:numId w:val="0"/>
        </w:numPr>
        <w:ind w:left="720" w:hanging="0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numPr>
          <w:ilvl w:val="0"/>
          <w:numId w:val="0"/>
        </w:numPr>
        <w:ind w:left="720" w:hanging="0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  <w:t>AÇÕES EM DESTAQUE</w:t>
      </w:r>
    </w:p>
    <w:p>
      <w:pPr>
        <w:pStyle w:val="Contedodatabela"/>
        <w:numPr>
          <w:ilvl w:val="0"/>
          <w:numId w:val="0"/>
        </w:numPr>
        <w:ind w:left="720" w:hanging="0"/>
        <w:jc w:val="center"/>
        <w:rPr>
          <w:rFonts w:cs="Calibri"/>
          <w:b/>
          <w:b/>
          <w:bCs/>
          <w:color w:val="auto"/>
          <w:shd w:fill="auto" w:val="clear"/>
        </w:rPr>
      </w:pPr>
      <w:r>
        <w:rPr>
          <w:rFonts w:cs="Calibri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2"/>
        </w:numPr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  <w:t xml:space="preserve">Capacitação com fisioterapeutas sobre LER/DORT da rede pública e privada – </w:t>
      </w:r>
      <w:r>
        <w:rPr>
          <w:rFonts w:cs="Calibri"/>
          <w:b/>
          <w:bCs/>
          <w:color w:val="000000"/>
          <w:shd w:fill="auto" w:val="clear"/>
        </w:rPr>
        <w:t>02</w:t>
      </w:r>
    </w:p>
    <w:p>
      <w:pPr>
        <w:pStyle w:val="Contedodatabela"/>
        <w:numPr>
          <w:ilvl w:val="0"/>
          <w:numId w:val="22"/>
        </w:numPr>
        <w:rPr>
          <w:rFonts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/>
          <w:b w:val="false"/>
          <w:bCs w:val="false"/>
          <w:color w:val="000000"/>
          <w:shd w:fill="auto" w:val="clear"/>
        </w:rPr>
        <w:t>Capacitação com a rede hospitalar privada sobre as notificações do SINAN dos agravos e doenças relacionadas ao trabalho -</w:t>
      </w:r>
      <w:r>
        <w:rPr>
          <w:rFonts w:cs="Calibri"/>
          <w:b/>
          <w:bCs/>
          <w:color w:val="000000"/>
          <w:shd w:fill="auto" w:val="clear"/>
        </w:rPr>
        <w:t xml:space="preserve"> 01</w:t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ntedodatabela"/>
        <w:rPr>
          <w:rFonts w:cs="Calibri"/>
          <w:color w:val="auto"/>
          <w:shd w:fill="auto" w:val="clear"/>
        </w:rPr>
      </w:pPr>
      <w:r>
        <w:rPr>
          <w:rFonts w:cs="Calibri"/>
          <w:color w:val="000000"/>
          <w:shd w:fill="auto" w:val="clear"/>
        </w:rPr>
      </w:r>
    </w:p>
    <w:p>
      <w:pPr>
        <w:pStyle w:val="Corpodotexto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/>
          <w:bCs/>
          <w:color w:val="000000"/>
          <w:sz w:val="24"/>
          <w:szCs w:val="24"/>
          <w:shd w:fill="auto" w:val="clear"/>
          <w:lang w:eastAsia="en-US"/>
        </w:rPr>
        <w:t xml:space="preserve">3.7. </w:t>
      </w:r>
      <w:r>
        <w:rPr>
          <w:rFonts w:eastAsia="Calibri" w:cs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eastAsia="en-US"/>
        </w:rPr>
        <w:t>SAE/CTA – SERVIÇO DE ASSISTÊNCIA ESPECIALIZADA E CENTRO DE TESTAGEM E ACONSELHAMENTO</w:t>
      </w:r>
    </w:p>
    <w:tbl>
      <w:tblPr>
        <w:tblW w:w="10340" w:type="dxa"/>
        <w:jc w:val="left"/>
        <w:tblInd w:w="14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76"/>
        <w:gridCol w:w="7441"/>
        <w:gridCol w:w="2023"/>
      </w:tblGrid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99" w:right="266" w:hanging="0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Nº</w:t>
            </w:r>
          </w:p>
        </w:tc>
        <w:tc>
          <w:tcPr>
            <w:tcW w:w="94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3722" w:right="3694" w:hanging="0"/>
              <w:rPr>
                <w:color w:val="auto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AÇÃO</w:t>
            </w:r>
            <w:r>
              <w:rPr>
                <w:b/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b/>
                <w:color w:val="000000"/>
                <w:sz w:val="22"/>
                <w:shd w:fill="auto" w:val="clear"/>
              </w:rPr>
              <w:t>REALIZADA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01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Consultas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Infectologista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336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02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Consultas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Nutricionista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26</w:t>
            </w:r>
          </w:p>
        </w:tc>
      </w:tr>
      <w:tr>
        <w:trPr>
          <w:trHeight w:val="689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03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Orientações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Pós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testagens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rápidas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(Centro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Testagem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</w:t>
            </w:r>
            <w:r>
              <w:rPr>
                <w:color w:val="000000"/>
                <w:spacing w:val="-5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Aconselhamento)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232</w:t>
            </w:r>
          </w:p>
        </w:tc>
      </w:tr>
      <w:tr>
        <w:trPr>
          <w:trHeight w:val="449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04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profissional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Serviço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Social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0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05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profissional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Psicologia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8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36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06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pré-consulta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profissionais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Enfermagem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6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07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Busca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ativa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pacientes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abandono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5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4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27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08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hemovigilância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(Encaminhados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banco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sangue)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2" w:after="0"/>
              <w:ind w:left="0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 xml:space="preserve">          </w:t>
            </w:r>
            <w:r>
              <w:rPr>
                <w:b/>
                <w:color w:val="000000"/>
                <w:sz w:val="22"/>
                <w:shd w:fill="auto" w:val="clear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09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em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acidentes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ocupacionais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0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12</w:t>
            </w:r>
          </w:p>
        </w:tc>
      </w:tr>
      <w:tr>
        <w:trPr>
          <w:trHeight w:val="69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10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Profilaxia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Pós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Exposição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(PEP)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-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Relação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Sexual</w:t>
            </w:r>
            <w:r>
              <w:rPr>
                <w:color w:val="000000"/>
                <w:spacing w:val="-5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Consentida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22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11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vítimas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violência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sexual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12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Profilaxia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Pré-exposição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(PREP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para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HIV)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112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13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Coletas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sangue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realizadas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pelo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laboratório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6250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14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Aplicações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parenterais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(IM)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117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15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HIV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(início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16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Hepatite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C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(início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6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tratamento)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7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17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sífilis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adquirida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7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32</w:t>
            </w:r>
          </w:p>
        </w:tc>
      </w:tr>
      <w:tr>
        <w:trPr>
          <w:trHeight w:val="43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18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Notificações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sífilis</w:t>
            </w:r>
            <w:r>
              <w:rPr>
                <w:color w:val="000000"/>
                <w:spacing w:val="-7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gestante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5" w:after="0"/>
              <w:ind w:left="28" w:right="0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19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Atendimentos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de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Assistência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farmacêutica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3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691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20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Preservativos</w:t>
            </w:r>
            <w:r>
              <w:rPr>
                <w:color w:val="000000"/>
                <w:spacing w:val="-12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1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71712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21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Preservativos</w:t>
            </w:r>
            <w:r>
              <w:rPr>
                <w:color w:val="000000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femininos</w:t>
            </w:r>
            <w:r>
              <w:rPr>
                <w:color w:val="000000"/>
                <w:spacing w:val="-11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9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299" w:right="266" w:hanging="0"/>
              <w:rPr>
                <w:color w:val="auto"/>
                <w:sz w:val="22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22</w:t>
            </w:r>
          </w:p>
        </w:tc>
        <w:tc>
          <w:tcPr>
            <w:tcW w:w="7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108" w:right="0" w:hanging="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z w:val="22"/>
                <w:shd w:fill="auto" w:val="clear"/>
              </w:rPr>
              <w:t>Gel</w:t>
            </w:r>
            <w:r>
              <w:rPr>
                <w:color w:val="000000"/>
                <w:spacing w:val="-9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lubrificante</w:t>
            </w:r>
            <w:r>
              <w:rPr>
                <w:color w:val="000000"/>
                <w:spacing w:val="-8"/>
                <w:sz w:val="22"/>
                <w:shd w:fill="auto" w:val="clear"/>
              </w:rPr>
              <w:t xml:space="preserve"> </w:t>
            </w:r>
            <w:r>
              <w:rPr>
                <w:color w:val="000000"/>
                <w:sz w:val="22"/>
                <w:shd w:fill="auto" w:val="clear"/>
              </w:rPr>
              <w:t>distribuídos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7" w:after="0"/>
              <w:ind w:left="683" w:right="655" w:hanging="0"/>
              <w:jc w:val="center"/>
              <w:rPr>
                <w:rFonts w:ascii="Arial" w:hAnsi="Arial"/>
                <w:b/>
                <w:b/>
                <w:color w:val="auto"/>
                <w:sz w:val="22"/>
                <w:shd w:fill="auto" w:val="clear"/>
              </w:rPr>
            </w:pPr>
            <w:r>
              <w:rPr>
                <w:b/>
                <w:color w:val="000000"/>
                <w:sz w:val="22"/>
                <w:shd w:fill="auto" w:val="clear"/>
              </w:rPr>
              <w:t>2200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AÇÕES EM DESTAQUE</w:t>
      </w:r>
    </w:p>
    <w:p>
      <w:pPr>
        <w:pStyle w:val="Normal"/>
        <w:spacing w:lineRule="auto" w:line="360"/>
        <w:jc w:val="center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360" w:before="0" w:after="0"/>
        <w:ind w:left="1213" w:right="476" w:hanging="36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Disponibilização de preservativos masculinos e femininos e gel lubrificante na recepção do</w:t>
      </w:r>
      <w:r>
        <w:rPr>
          <w:rFonts w:ascii="Arial" w:hAnsi="Arial"/>
          <w:color w:val="000000"/>
          <w:spacing w:val="-59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serviço;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0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Divulgação</w:t>
      </w:r>
      <w:r>
        <w:rPr>
          <w:rFonts w:ascii="Arial" w:hAnsi="Arial"/>
          <w:color w:val="000000"/>
          <w:spacing w:val="-9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panfletos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sobre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ISTs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na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recepção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do</w:t>
      </w:r>
      <w:r>
        <w:rPr>
          <w:rFonts w:ascii="Arial" w:hAnsi="Arial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serviço;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0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internas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combate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abandono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tratamento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(monitoramento);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Prevenção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às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infecções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sexualmente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transmissíveis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junto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ao</w:t>
      </w:r>
      <w:r>
        <w:rPr>
          <w:rFonts w:ascii="Arial" w:hAnsi="Arial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consultório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de</w:t>
      </w:r>
      <w:r>
        <w:rPr>
          <w:rFonts w:ascii="Arial" w:hAnsi="Arial"/>
          <w:color w:val="000000"/>
          <w:spacing w:val="-6"/>
          <w:sz w:val="24"/>
          <w:szCs w:val="24"/>
          <w:shd w:fill="auto" w:val="clear"/>
        </w:rPr>
        <w:t xml:space="preserve"> </w:t>
      </w:r>
      <w:r>
        <w:rPr>
          <w:rFonts w:ascii="Arial" w:hAnsi="Arial"/>
          <w:color w:val="000000"/>
          <w:sz w:val="24"/>
          <w:szCs w:val="24"/>
          <w:shd w:fill="auto" w:val="clear"/>
        </w:rPr>
        <w:t>rua;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 de Prevenção às ISTs em Empresas – Outubro Verde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361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ascii="Arial" w:hAnsi="Arial"/>
          <w:color w:val="000000"/>
          <w:sz w:val="24"/>
          <w:szCs w:val="24"/>
          <w:shd w:fill="auto" w:val="clear"/>
        </w:rPr>
        <w:t>Ações de Prevenção às ISTs em Empresas – Sipat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Distribuição</w:t>
      </w:r>
      <w:r>
        <w:rPr>
          <w:rFonts w:cs="Calibri" w:ascii="Arial" w:hAnsi="Arial"/>
          <w:b w:val="false"/>
          <w:bCs w:val="false"/>
          <w:color w:val="000000"/>
          <w:spacing w:val="-8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de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preservativos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para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profissionais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do</w:t>
      </w:r>
      <w:r>
        <w:rPr>
          <w:rFonts w:cs="Calibri" w:ascii="Arial" w:hAnsi="Arial"/>
          <w:b w:val="false"/>
          <w:bCs w:val="false"/>
          <w:color w:val="000000"/>
          <w:spacing w:val="-7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sexo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Simpósio sobre Ists – Outubro Verde;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Dezembro Vermelho – Campanha de conscientização à prevenção do HIV/AIDS;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361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Divulgação e ampliação da oferta de PREP e PEP.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4" w:leader="none"/>
        </w:tabs>
        <w:spacing w:lineRule="auto" w:line="240" w:before="127" w:after="0"/>
        <w:ind w:left="1214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214" w:leader="none"/>
        </w:tabs>
        <w:spacing w:lineRule="auto" w:line="240" w:before="126" w:after="0"/>
        <w:ind w:left="1214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p>
      <w:pPr>
        <w:pStyle w:val="ListParagraph"/>
        <w:tabs>
          <w:tab w:val="clear" w:pos="720"/>
          <w:tab w:val="left" w:pos="1214" w:leader="none"/>
        </w:tabs>
        <w:spacing w:lineRule="auto" w:line="360" w:before="126" w:after="0"/>
        <w:ind w:left="853" w:right="467" w:hanging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  <w:lang w:val="pt-BR"/>
        </w:rPr>
        <w:t>3.8. REDE DE ATENÇÃO PSICOSSOCIAL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3.8.1. REDE DE ATENÇÃO PSICOSSOCIAL –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 xml:space="preserve"> </w:t>
      </w: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CAPS II e CAPS AD, UA, Serviço de Saúde Mental Infanto Juvenil</w:t>
      </w:r>
    </w:p>
    <w:p>
      <w:pPr>
        <w:pStyle w:val="Normal"/>
        <w:spacing w:lineRule="auto" w:line="360" w:before="0" w:after="0"/>
        <w:jc w:val="center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AÇÃO REALIZADA</w:t>
      </w:r>
    </w:p>
    <w:p>
      <w:pPr>
        <w:pStyle w:val="Contedodatabela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Acolhimento Diurno: 349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Individual: 1833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em grupo: 1313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familiar: 240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Atendimento Domiciliar: 101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Práticas Corporais: 48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Práticas Expressivas e Corporativas: 462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Ações de Reabilitação: 07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Promoção de Contratualidade no Território: 86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Atenção às situações de crise: 11</w:t>
      </w:r>
    </w:p>
    <w:p>
      <w:pPr>
        <w:pStyle w:val="Contedodatabela"/>
        <w:numPr>
          <w:ilvl w:val="0"/>
          <w:numId w:val="23"/>
        </w:numPr>
        <w:rPr>
          <w:color w:val="auto"/>
          <w:shd w:fill="auto" w:val="clear"/>
        </w:rPr>
      </w:pPr>
      <w:r>
        <w:rPr>
          <w:color w:val="000000"/>
          <w:shd w:fill="auto" w:val="clear"/>
        </w:rPr>
        <w:t>Matriciamento: 21</w:t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ntedodatabela"/>
        <w:jc w:val="center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 xml:space="preserve">AÇÃO EM DESTAQUE </w:t>
      </w:r>
    </w:p>
    <w:p>
      <w:pPr>
        <w:pStyle w:val="Contedodatabela"/>
        <w:jc w:val="left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Ações de promoção à Saúde Mental relativas ao Setembro Amarelo - Rodas de Conversa junto a abrigos, escolas ESF’s e UEMG.</w:t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Passeio comemorativo ao  Dia Mundial da Saúde Mental - Confraternização com o CAPS I de Andradas.</w:t>
      </w:r>
    </w:p>
    <w:p>
      <w:pPr>
        <w:pStyle w:val="Contedodatabela"/>
        <w:numPr>
          <w:ilvl w:val="0"/>
          <w:numId w:val="24"/>
        </w:numPr>
        <w:rPr>
          <w:rFonts w:ascii="Arial" w:hAnsi="Arial"/>
          <w:b w:val="false"/>
          <w:b w:val="false"/>
          <w:bCs w:val="false"/>
          <w:color w:val="auto"/>
          <w:shd w:fill="auto" w:val="clear"/>
        </w:rPr>
      </w:pPr>
      <w:r>
        <w:rPr>
          <w:rFonts w:ascii="Arial" w:hAnsi="Arial"/>
          <w:b w:val="false"/>
          <w:bCs w:val="false"/>
          <w:color w:val="000000"/>
          <w:shd w:fill="auto" w:val="clear"/>
        </w:rPr>
        <w:t>Participação de representantes na Conferência Nacional de Saúde Mental - Brasília (Dezembro, 2023).</w:t>
      </w:r>
    </w:p>
    <w:p>
      <w:pPr>
        <w:pStyle w:val="Normal"/>
        <w:spacing w:lineRule="auto" w:line="360" w:before="0" w:after="0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Contedodatabela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3.9.  POLICLÍNICA CENTRAL</w:t>
      </w:r>
    </w:p>
    <w:p>
      <w:pPr>
        <w:pStyle w:val="Contedodatabela"/>
        <w:spacing w:lineRule="auto" w:line="360" w:before="0" w:after="0"/>
        <w:jc w:val="center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AÇÃO REALIZADA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  <w:t xml:space="preserve">Realização de mutirão de consultas de especialidades com aproximadamente 12 mil </w:t>
      </w:r>
      <w:r>
        <w:rPr>
          <w:rFonts w:ascii="Arial" w:hAnsi="Arial"/>
          <w:sz w:val="24"/>
          <w:shd w:fill="auto" w:val="clear"/>
        </w:rPr>
        <w:t>atendimentos realizados.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Reforma do piso da farmácia central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Realização de 4.324 testes de covid-19 com suporte médico para consulta.</w:t>
      </w:r>
    </w:p>
    <w:p>
      <w:pPr>
        <w:pStyle w:val="Normal"/>
        <w:numPr>
          <w:ilvl w:val="0"/>
          <w:numId w:val="25"/>
        </w:numPr>
        <w:spacing w:lineRule="auto" w:line="360"/>
        <w:jc w:val="left"/>
        <w:rPr>
          <w:rFonts w:ascii="Arial" w:hAnsi="Arial"/>
          <w:sz w:val="24"/>
          <w:shd w:fill="auto" w:val="clear"/>
        </w:rPr>
      </w:pPr>
      <w:r>
        <w:rPr>
          <w:rFonts w:ascii="Arial" w:hAnsi="Arial"/>
          <w:sz w:val="24"/>
          <w:shd w:fill="auto" w:val="clear"/>
        </w:rPr>
        <w:t>Instalação de internet sem fio no primeiro andar para auxílio operacional.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  <w:t>Troca do sistema de iluminação dos corredores internos da Policlínica Central por led.</w:t>
      </w:r>
    </w:p>
    <w:p>
      <w:pPr>
        <w:pStyle w:val="Normal"/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AÇÕES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EM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DESTAQUE</w:t>
      </w:r>
    </w:p>
    <w:p>
      <w:pPr>
        <w:pStyle w:val="Normal"/>
        <w:spacing w:lineRule="auto" w:line="360"/>
        <w:jc w:val="both"/>
        <w:rPr>
          <w:rFonts w:ascii="Arial" w:hAnsi="Arial"/>
          <w:color w:val="auto"/>
          <w:sz w:val="24"/>
          <w:shd w:fill="auto" w:val="clear"/>
        </w:rPr>
      </w:pPr>
      <w:r>
        <w:rPr>
          <w:rFonts w:ascii="Arial" w:hAnsi="Arial"/>
          <w:color w:val="000000"/>
          <w:sz w:val="24"/>
          <w:shd w:fill="auto" w:val="clear"/>
        </w:rPr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  <w:t>Realização de 4324 testes de covid-19 com suporte médico para consulta.</w:t>
      </w:r>
    </w:p>
    <w:p>
      <w:pPr>
        <w:pStyle w:val="Normal"/>
        <w:numPr>
          <w:ilvl w:val="0"/>
          <w:numId w:val="25"/>
        </w:numPr>
        <w:spacing w:lineRule="auto" w:line="36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  <w:t>Realização de mutirão de consultas de especialidades com aproximadamente 12 mil atendimentos realizados.</w:t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numPr>
          <w:ilvl w:val="0"/>
          <w:numId w:val="0"/>
        </w:numPr>
        <w:ind w:left="72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3.9.1 POLICLÍNICA SUL</w:t>
      </w:r>
    </w:p>
    <w:p>
      <w:pPr>
        <w:pStyle w:val="Contedodatabela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Contedodatabela"/>
        <w:spacing w:lineRule="auto" w:line="360" w:before="0" w:after="0"/>
        <w:jc w:val="center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AÇÃO REALIZADA</w:t>
      </w:r>
    </w:p>
    <w:p>
      <w:pPr>
        <w:pStyle w:val="Contedodatabela"/>
        <w:spacing w:lineRule="auto" w:line="360" w:before="0" w:after="0"/>
        <w:jc w:val="left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Outubro Rosa;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Novembro Azul;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Dezembro Vermelho;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Consultoria em amamentação e laserterapia;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Mutirão de otorrinolaringologia;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Reforma e pintura da unidade;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Aquisição de impressora nos consultórios;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Prontuário eletrônico;</w:t>
      </w:r>
    </w:p>
    <w:p>
      <w:pPr>
        <w:pStyle w:val="Contedodatabela"/>
        <w:numPr>
          <w:ilvl w:val="0"/>
          <w:numId w:val="27"/>
        </w:numPr>
        <w:spacing w:lineRule="auto" w:line="360" w:before="0" w:after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Estágio da residência pediátrica;</w:t>
      </w:r>
    </w:p>
    <w:p>
      <w:pPr>
        <w:pStyle w:val="Contedodatabela"/>
        <w:numPr>
          <w:ilvl w:val="0"/>
          <w:numId w:val="0"/>
        </w:numPr>
        <w:spacing w:lineRule="auto" w:line="360" w:before="0" w:after="0"/>
        <w:ind w:left="720" w:hanging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 w:cs="Calibri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AÇÕES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EM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-6"/>
          <w:kern w:val="2"/>
          <w:sz w:val="24"/>
          <w:szCs w:val="24"/>
          <w:u w:val="none"/>
          <w:shd w:fill="auto" w:val="clear"/>
          <w:em w:val="none"/>
        </w:rPr>
        <w:t xml:space="preserve"> </w:t>
      </w:r>
      <w:r>
        <w:rPr>
          <w:rFonts w:cs="Calibri"/>
          <w:b/>
          <w:bCs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DESTAQUE</w:t>
      </w:r>
    </w:p>
    <w:p>
      <w:pPr>
        <w:pStyle w:val="TableParagraph"/>
        <w:widowControl w:val="false"/>
        <w:spacing w:lineRule="auto" w:line="235" w:before="27" w:after="0"/>
        <w:ind w:left="0" w:right="3389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TableParagraph"/>
        <w:widowControl w:val="false"/>
        <w:numPr>
          <w:ilvl w:val="0"/>
          <w:numId w:val="26"/>
        </w:numPr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Laserterapia pós parto</w:t>
      </w:r>
    </w:p>
    <w:p>
      <w:pPr>
        <w:pStyle w:val="TableParagraph"/>
        <w:widowControl w:val="false"/>
        <w:numPr>
          <w:ilvl w:val="0"/>
          <w:numId w:val="26"/>
        </w:numPr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Prontuário eletrônico</w:t>
      </w:r>
    </w:p>
    <w:p>
      <w:pPr>
        <w:pStyle w:val="TableParagraph"/>
        <w:widowControl w:val="false"/>
        <w:spacing w:lineRule="auto" w:line="235" w:before="27" w:after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Contedodatabela"/>
        <w:widowControl w:val="false"/>
        <w:numPr>
          <w:ilvl w:val="0"/>
          <w:numId w:val="0"/>
        </w:numPr>
        <w:suppressLineNumbers/>
        <w:tabs>
          <w:tab w:val="clear" w:pos="720"/>
          <w:tab w:val="left" w:pos="345" w:leader="none"/>
        </w:tabs>
        <w:suppressAutoHyphens w:val="true"/>
        <w:overflowPunct w:val="false"/>
        <w:bidi w:val="0"/>
        <w:spacing w:lineRule="auto" w:line="360" w:before="0" w:after="0"/>
        <w:ind w:left="735" w:hanging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ab/>
      </w:r>
    </w:p>
    <w:p>
      <w:pPr>
        <w:pStyle w:val="Normal"/>
        <w:spacing w:lineRule="auto" w:line="360" w:before="0" w:after="0"/>
        <w:ind w:left="567" w:right="0" w:hanging="567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 REDE DE URGÊNCIA E EMERGÊNCIA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3.10.1. UPA (Unidade de Pronto Atendimento)</w:t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Inauguração do Pronto Atendimento Infantil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do aparelho de raio X e instalação do CR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Raio X passa a funcionar 24 horas em sistema de demanda espontânea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reforma para adequação da planta para a UPA II ampliada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Implantação do serviço de Posso Ajudar, através do convênio com a Santa Casa de salto de Pirapora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implantação do sistema de prontuário eletrônico no pronto atendimento infantil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aparelho de gasometria portátil para a sala de urgência,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Kits para realização do exame de troponina qualitativa na sala de urgência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Manutenção da Rede Elétrica e Hidráulica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Educação continuada com os servidores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Enfermagem (Anhanguera, Polivalente, Senac)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Nutrição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Odontologia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Continuidade do estágio curricular de Medicina da Puc</w:t>
      </w:r>
    </w:p>
    <w:p>
      <w:pPr>
        <w:pStyle w:val="TableParagraph"/>
        <w:widowControl w:val="false"/>
        <w:numPr>
          <w:ilvl w:val="0"/>
          <w:numId w:val="28"/>
        </w:numPr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do estágio de Psicologia da Anhanguera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Disponibilização de aparelho de ultrassom para a sala de urgência,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quatro impressoras multifuncionais, em sistema de comodato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uma impressora colorida, em sistema de doação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Scanners venosos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Adequação da prestação do serviço de laboratório para envio de 100% das amostras para o BIOLAB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Disponibilização de uma moto exclusiva para o HMMM das 8 às 17 horas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de todos os extintores de incêndio para o tipo ABC</w:t>
      </w:r>
    </w:p>
    <w:p>
      <w:pPr>
        <w:pStyle w:val="TableParagraph"/>
        <w:widowControl w:val="false"/>
        <w:numPr>
          <w:ilvl w:val="0"/>
          <w:numId w:val="28"/>
        </w:numPr>
        <w:spacing w:lineRule="auto" w:line="235" w:before="15" w:after="0"/>
        <w:ind w:left="59" w:right="375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Instalação de computadores em todos os consultórios médicos</w:t>
      </w:r>
    </w:p>
    <w:p>
      <w:pPr>
        <w:pStyle w:val="TableParagraph"/>
        <w:widowControl w:val="false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0"/>
        </w:numPr>
        <w:spacing w:lineRule="auto" w:line="235" w:before="27" w:after="0"/>
        <w:ind w:left="3411" w:right="3389" w:hanging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b/>
          <w:bCs/>
          <w:color w:val="000000"/>
          <w:sz w:val="24"/>
          <w:shd w:fill="auto" w:val="clear"/>
        </w:rPr>
        <w:t>AÇÕES</w:t>
      </w:r>
      <w:r>
        <w:rPr>
          <w:b/>
          <w:bCs/>
          <w:color w:val="000000"/>
          <w:spacing w:val="-6"/>
          <w:sz w:val="24"/>
          <w:shd w:fill="auto" w:val="clear"/>
        </w:rPr>
        <w:t xml:space="preserve"> </w:t>
      </w:r>
      <w:r>
        <w:rPr>
          <w:b/>
          <w:bCs/>
          <w:color w:val="000000"/>
          <w:sz w:val="24"/>
          <w:shd w:fill="auto" w:val="clear"/>
        </w:rPr>
        <w:t>EM</w:t>
      </w:r>
      <w:r>
        <w:rPr>
          <w:b/>
          <w:bCs/>
          <w:color w:val="000000"/>
          <w:spacing w:val="-6"/>
          <w:sz w:val="24"/>
          <w:shd w:fill="auto" w:val="clear"/>
        </w:rPr>
        <w:t xml:space="preserve"> </w:t>
      </w:r>
      <w:r>
        <w:rPr>
          <w:b/>
          <w:bCs/>
          <w:color w:val="000000"/>
          <w:sz w:val="24"/>
          <w:shd w:fill="auto" w:val="clear"/>
        </w:rPr>
        <w:t>DESTAQUE</w:t>
      </w:r>
    </w:p>
    <w:p>
      <w:pPr>
        <w:pStyle w:val="TableParagraph"/>
        <w:widowControl w:val="false"/>
        <w:spacing w:lineRule="auto" w:line="235" w:before="27" w:after="0"/>
        <w:ind w:left="3411" w:right="3389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pacing w:lineRule="auto" w:line="235" w:before="27" w:after="0"/>
        <w:ind w:left="3411" w:right="3389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suppressAutoHyphens w:val="true"/>
        <w:overflowPunct w:val="false"/>
        <w:bidi w:val="0"/>
        <w:spacing w:lineRule="exact" w:line="271" w:before="10" w:after="0"/>
        <w:ind w:left="0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Inauguração do Pronto Atendimento Infantil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Troca do aparelho de raio X e instalação do CR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Raio X passa a funcionar 24 horas em sistema de demanda espontânea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reforma para adequação da planta para UPA II ampliada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Implantação do serviço de Posso Ajudar, através do convênio com a Santa Casa de Salto de Pirapora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Início da implantação do sistema de prontuário eletrônico no Pronto Atendimento Infantil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aparelho de gasometria portátil para a sala de urgência, em sistema de comodato</w:t>
      </w:r>
    </w:p>
    <w:p>
      <w:pPr>
        <w:pStyle w:val="TableParagraph"/>
        <w:widowControl w:val="false"/>
        <w:numPr>
          <w:ilvl w:val="0"/>
          <w:numId w:val="26"/>
        </w:numPr>
        <w:suppressAutoHyphens w:val="true"/>
        <w:overflowPunct w:val="false"/>
        <w:bidi w:val="0"/>
        <w:spacing w:lineRule="exact" w:line="271" w:before="10" w:after="0"/>
        <w:ind w:left="59" w:right="0" w:hanging="0"/>
        <w:jc w:val="both"/>
        <w:rPr>
          <w:rFonts w:ascii="Arial" w:hAnsi="Arial"/>
          <w:b w:val="false"/>
          <w:b w:val="false"/>
          <w:bCs w:val="false"/>
          <w:color w:val="auto"/>
          <w:sz w:val="24"/>
          <w:shd w:fill="auto" w:val="clear"/>
        </w:rPr>
      </w:pPr>
      <w:r>
        <w:rPr>
          <w:b w:val="false"/>
          <w:bCs w:val="false"/>
          <w:color w:val="000000"/>
          <w:sz w:val="24"/>
          <w:shd w:fill="auto" w:val="clear"/>
        </w:rPr>
        <w:t>Aquisição de kits para a realização de Troponina qualitativa na sala de urgência</w:t>
      </w:r>
    </w:p>
    <w:p>
      <w:pPr>
        <w:pStyle w:val="TableParagraph"/>
        <w:widowControl w:val="false"/>
        <w:spacing w:lineRule="auto" w:line="235" w:before="15" w:after="0"/>
        <w:ind w:left="59" w:right="747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TableParagraph"/>
        <w:widowControl w:val="false"/>
        <w:spacing w:lineRule="auto" w:line="235" w:before="15" w:after="0"/>
        <w:ind w:left="59" w:right="747" w:hanging="0"/>
        <w:jc w:val="both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3.10.2. HOSPITAL MUNICIPAL MARGARITA MORALES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Continuação da reforma para adequação da planta para Upa II ampliada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Início da implantação do sistema de prontuário eletrônico no pronto atendimento adulto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Realização de curso de brigadista com servidores do HMMM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Manutenção da rede elétrica e hidráulica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Educação continuada com os servidores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Enfermagem (Anhanguera, Polivalente, SENAC)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Nutrição da Anhanguera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Curricular de Medicina da PUC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Continuidade do Estágio de Psicologia da Anhanguera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Disponibilização de uma farmacêutica para o HMMM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Complemento de recursos humanos de auxiliares de enfermagem através do convênio com a Santa Casa de Salto de Pirapora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Instalação de sistema de Prontuário eletrônico em todos os consultórios médicos do pronto atendimento infantil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do Aparelho de Raio X fixo e móvel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do Aparelho de Ultrassom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Raio X passa a fornecer QR Code e link com senha para acesso do paciente aos exames realizados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Implantação de eletrocardiograma com assessoria online 24h através do programa do Instituto HCOR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Disponibilização de uma ambulância exclusiva para realizar demandas do hospital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Instalação de dois diluidores de desinfetante hospitalar nos DMLS do hospital</w:t>
      </w:r>
    </w:p>
    <w:p>
      <w:pPr>
        <w:pStyle w:val="Contedodatabela"/>
        <w:widowControl w:val="false"/>
        <w:numPr>
          <w:ilvl w:val="0"/>
          <w:numId w:val="29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color w:val="auto"/>
          <w:shd w:fill="auto" w:val="clear"/>
        </w:rPr>
      </w:pPr>
      <w:r>
        <w:rPr>
          <w:rFonts w:cs="Calibri" w:ascii="Calibri" w:hAnsi="Calibri"/>
          <w:color w:val="000000"/>
          <w:shd w:fill="auto" w:val="clear"/>
        </w:rPr>
        <w:t>Troca de Ar condicionado e geladeira através do programa de redução de consumo de energia elétrica do DME</w:t>
      </w:r>
    </w:p>
    <w:p>
      <w:pPr>
        <w:pStyle w:val="Normal"/>
        <w:widowControl w:val="false"/>
        <w:numPr>
          <w:ilvl w:val="0"/>
          <w:numId w:val="0"/>
        </w:numPr>
        <w:suppressLineNumbers/>
        <w:suppressAutoHyphens w:val="true"/>
        <w:overflowPunct w:val="false"/>
        <w:bidi w:val="0"/>
        <w:snapToGrid w:val="false"/>
        <w:ind w:left="57" w:right="0" w:hanging="0"/>
        <w:rPr>
          <w:rFonts w:ascii="Calibri" w:hAnsi="Calibri" w:cs="Calibri"/>
          <w:color w:val="auto"/>
          <w:sz w:val="23"/>
          <w:szCs w:val="23"/>
          <w:shd w:fill="auto" w:val="clear"/>
        </w:rPr>
      </w:pPr>
      <w:r>
        <w:rPr>
          <w:rFonts w:cs="Calibri" w:ascii="Calibri" w:hAnsi="Calibri"/>
          <w:color w:val="000000"/>
          <w:sz w:val="23"/>
          <w:szCs w:val="23"/>
          <w:shd w:fill="auto" w:val="clear"/>
        </w:rPr>
      </w:r>
    </w:p>
    <w:p>
      <w:pPr>
        <w:pStyle w:val="Contedodatabela"/>
        <w:jc w:val="center"/>
        <w:rPr>
          <w:rFonts w:ascii="Calibri" w:hAnsi="Calibri" w:cs="Calibri"/>
          <w:b/>
          <w:b/>
          <w:bCs/>
          <w:color w:val="auto"/>
          <w:shd w:fill="auto" w:val="clear"/>
        </w:rPr>
      </w:pPr>
      <w:r>
        <w:rPr>
          <w:rFonts w:cs="Calibri" w:ascii="Calibri" w:hAnsi="Calibri"/>
          <w:b/>
          <w:bCs/>
          <w:color w:val="000000"/>
          <w:shd w:fill="auto" w:val="clear"/>
        </w:rPr>
        <w:t>AÇÕES EM DESTAQUE</w:t>
      </w:r>
    </w:p>
    <w:p>
      <w:pPr>
        <w:pStyle w:val="Contedodatabela"/>
        <w:jc w:val="center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Disponibilização de uma farmacêutica para o HMMM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Instalação de sistema de Prontuário eletrônico em todos os consultórios médicos do pronto atendimento infantil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Complemento de recursos humanos de auxiliares de enfermagem através do convênio com a Santa Casa de Salto de Pirapora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Troca do Aparelho de Raio X fixo e móvel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Troca do Aparelho de Ultrassom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Raio X passa a fornecer QR Code e link com senha para acesso do paciente aos exames realizados</w:t>
      </w:r>
    </w:p>
    <w:p>
      <w:pPr>
        <w:pStyle w:val="Contedodatabela"/>
        <w:widowControl w:val="false"/>
        <w:numPr>
          <w:ilvl w:val="0"/>
          <w:numId w:val="30"/>
        </w:numPr>
        <w:suppressLineNumbers/>
        <w:suppressAutoHyphens w:val="true"/>
        <w:overflowPunct w:val="false"/>
        <w:bidi w:val="0"/>
        <w:snapToGrid w:val="false"/>
        <w:ind w:left="57" w:right="0" w:hanging="0"/>
        <w:jc w:val="both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  <w:t>Implantação de eletrocardiograma com assessoria online 24h através do programa do Instituto HCOR</w:t>
      </w:r>
    </w:p>
    <w:p>
      <w:pPr>
        <w:pStyle w:val="Contedodatabela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widowControl w:val="false"/>
        <w:numPr>
          <w:ilvl w:val="0"/>
          <w:numId w:val="0"/>
        </w:numPr>
        <w:suppressLineNumbers/>
        <w:suppressAutoHyphens w:val="true"/>
        <w:overflowPunct w:val="false"/>
        <w:bidi w:val="0"/>
        <w:snapToGrid w:val="false"/>
        <w:ind w:left="57" w:right="0" w:hanging="0"/>
        <w:rPr>
          <w:rFonts w:ascii="Calibri" w:hAnsi="Calibri" w:cs="Calibri"/>
          <w:b w:val="false"/>
          <w:b w:val="false"/>
          <w:bCs w:val="false"/>
          <w:color w:val="auto"/>
          <w:shd w:fill="auto" w:val="clear"/>
        </w:rPr>
      </w:pPr>
      <w:r>
        <w:rPr>
          <w:rFonts w:cs="Calibri" w:ascii="Calibri" w:hAnsi="Calibri"/>
          <w:b w:val="false"/>
          <w:bCs w:val="false"/>
          <w:color w:val="000000"/>
          <w:shd w:fill="auto" w:val="clear"/>
        </w:rPr>
      </w:r>
    </w:p>
    <w:p>
      <w:pPr>
        <w:pStyle w:val="Contedodatabela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3.10.3. </w:t>
      </w:r>
      <w:r>
        <w:rPr>
          <w:rFonts w:eastAsia="SimSun" w:cs="Calibri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t-BR" w:eastAsia="zh-CN" w:bidi="hi-IN"/>
        </w:rPr>
        <w:t>Núcleo de Especialidades Médicas Leste (Hospital Zona Leste)</w:t>
      </w:r>
    </w:p>
    <w:p>
      <w:pPr>
        <w:pStyle w:val="Normal"/>
        <w:spacing w:lineRule="auto" w:line="360" w:before="0" w:after="0"/>
        <w:jc w:val="both"/>
        <w:rPr>
          <w:rFonts w:ascii="Arial" w:hAnsi="Arial" w:eastAsia="SimSun" w:cs="Calibri"/>
          <w:b/>
          <w:b/>
          <w:bCs/>
          <w:i w:val="false"/>
          <w:i w:val="false"/>
          <w:iCs w:val="false"/>
          <w:color w:val="auto"/>
          <w:kern w:val="2"/>
          <w:sz w:val="24"/>
          <w:szCs w:val="24"/>
          <w:u w:val="none"/>
          <w:shd w:fill="auto" w:val="clear"/>
          <w:lang w:val="pt-BR" w:eastAsia="zh-CN" w:bidi="hi-IN"/>
        </w:rPr>
      </w:pPr>
      <w:r>
        <w:rPr>
          <w:rFonts w:eastAsia="SimSun" w:cs="Calibri" w:ascii="Arial" w:hAnsi="Arial"/>
          <w:b/>
          <w:bCs/>
          <w:i w:val="false"/>
          <w:iCs w:val="false"/>
          <w:color w:val="000000"/>
          <w:kern w:val="2"/>
          <w:sz w:val="24"/>
          <w:szCs w:val="24"/>
          <w:u w:val="none"/>
          <w:shd w:fill="auto" w:val="clear"/>
          <w:lang w:val="pt-BR" w:eastAsia="zh-CN" w:bidi="hi-IN"/>
        </w:rPr>
      </w:r>
    </w:p>
    <w:p>
      <w:pPr>
        <w:pStyle w:val="Normal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REALIZADAS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Novo cabeamento de internet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Instalação de roteadores para wifi (fila zero) para os pacientes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Implantação e treinamento do sistema ZURICH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Limpeza e capina de área externa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Mutirão de ultrassom obstétrico – 100 exames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mamografias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servidores do Posso Ajudar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ortopedista para o ambulatório e realização de pequenos procedimentos cirúrgicos (Dr. Ricardo Cesar Cortes de Bem – Santa Casa de Pirapora)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Mutirão de consultas no ambulatório de urologia (Dr. Fabiano Cunha Borges Ralid)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Implantação do ambulatório de avaliação de cirurgias ortopédicas. (Dr Jose Luiz Bonfitto Filho)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Empréstimo do centro cirúirgico para a realização de procedimentos oftalmológicos – CISMARPA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Ampliação dos atendimentos para a realização de Crioterapia devido aumento de demanda – Dr Fernando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Substituição de lâmpadas LEDs realizada pelo DME</w:t>
      </w:r>
    </w:p>
    <w:p>
      <w:pPr>
        <w:pStyle w:val="Normal"/>
        <w:numPr>
          <w:ilvl w:val="0"/>
          <w:numId w:val="3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Restruturação interna de ambientes</w:t>
      </w:r>
    </w:p>
    <w:p>
      <w:pPr>
        <w:pStyle w:val="Contedodatabela"/>
        <w:snapToGrid w:val="false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ntedodatabela"/>
        <w:snapToGrid w:val="false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32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Contratação de ortopedista para o ambulatório e realização de pequenos procedimentos cirúrgicos (Dr. Ricardo Cesar Cortes de Bem – Santa Casa de Pirapora)</w:t>
      </w:r>
    </w:p>
    <w:p>
      <w:pPr>
        <w:pStyle w:val="Normal"/>
        <w:numPr>
          <w:ilvl w:val="0"/>
          <w:numId w:val="32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Instalação de roteadores para wifi (fila zero) para os pacientes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3.11. SERVIÇO DE ATENÇÃO DOMICILIAR/SAD</w:t>
      </w:r>
    </w:p>
    <w:p>
      <w:pPr>
        <w:pStyle w:val="Normal"/>
        <w:spacing w:lineRule="atLeast" w:line="10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Quadro 1. Procedimentos realizados pela Equipe SAD no TERCEIRO Quadrimestre de 2023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tbl>
      <w:tblPr>
        <w:tblW w:w="9701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05"/>
        <w:gridCol w:w="1795"/>
      </w:tblGrid>
      <w:tr>
        <w:trPr>
          <w:trHeight w:val="450" w:hRule="atLeast"/>
        </w:trPr>
        <w:tc>
          <w:tcPr>
            <w:tcW w:w="7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Atividades</w:t>
            </w:r>
          </w:p>
        </w:tc>
        <w:tc>
          <w:tcPr>
            <w:tcW w:w="1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Quantidade</w:t>
            </w:r>
          </w:p>
        </w:tc>
      </w:tr>
      <w:tr>
        <w:trPr>
          <w:trHeight w:val="59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Consulta/ Atendimento médico, de enfermagem e assistência social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</w:pPr>
            <w:r>
              <w:rPr>
                <w:rFonts w:eastAsia="SimSun;Arial Unicode MS" w:cs="Mang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  <w:t>3151</w:t>
            </w:r>
          </w:p>
        </w:tc>
      </w:tr>
      <w:tr>
        <w:trPr>
          <w:trHeight w:val="384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Procedimentos domiciliares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</w:pPr>
            <w:r>
              <w:rPr>
                <w:rFonts w:eastAsia="SimSun;Arial Unicode MS" w:cs="Mang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6"/>
                <w:szCs w:val="24"/>
                <w:u w:val="none"/>
                <w:shd w:fill="auto" w:val="clear"/>
                <w:em w:val="none"/>
                <w:lang w:val="pt-BR" w:eastAsia="zh-CN" w:bidi="hi-IN"/>
              </w:rPr>
              <w:t>15.002</w:t>
            </w:r>
          </w:p>
        </w:tc>
      </w:tr>
      <w:tr>
        <w:trPr>
          <w:trHeight w:val="90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Atendimento equipe de apoio (Fonoaudióloga, Fisioterapeuta, Nutricionista, Psicóloga)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888</w:t>
            </w:r>
          </w:p>
        </w:tc>
      </w:tr>
      <w:tr>
        <w:trPr>
          <w:trHeight w:val="1182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200"/>
              <w:jc w:val="left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Busca ativa de pacientes (Hospital Santa Lúcia, Hospital Santa Casa, UPA, Hospital Municipal Margarita Morales)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89</w:t>
            </w:r>
          </w:p>
        </w:tc>
      </w:tr>
      <w:tr>
        <w:trPr>
          <w:trHeight w:val="900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sz w:val="24"/>
                <w:szCs w:val="24"/>
                <w:u w:val="none"/>
                <w:shd w:fill="auto" w:val="clear"/>
                <w:em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</w:rPr>
              <w:t>Atividades relevantes (Matriciamento, Reuniões ESF/UBS/Adefip/Conselho Tutelar, Capacitações)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napToGrid w:val="false"/>
              <w:spacing w:before="0" w:after="200"/>
              <w:jc w:val="center"/>
              <w:rPr>
                <w:rFonts w:eastAsia="SimSun;Arial Unicode MS" w:cs="Mangal"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Mangal"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71</w:t>
            </w:r>
          </w:p>
        </w:tc>
      </w:tr>
      <w:tr>
        <w:trPr>
          <w:trHeight w:val="905" w:hRule="atLeast"/>
        </w:trPr>
        <w:tc>
          <w:tcPr>
            <w:tcW w:w="790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before="0" w:after="200"/>
              <w:rPr>
                <w:b/>
                <w:b/>
                <w:bCs/>
                <w:color w:val="auto"/>
                <w:shd w:fill="auto" w:val="clear"/>
              </w:rPr>
            </w:pPr>
            <w:r>
              <w:rPr>
                <w:b/>
                <w:bCs/>
                <w:color w:val="000000"/>
                <w:shd w:fill="auto" w:val="clear"/>
              </w:rPr>
              <w:t>Total</w:t>
            </w:r>
          </w:p>
        </w:tc>
        <w:tc>
          <w:tcPr>
            <w:tcW w:w="1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00"/>
              <w:jc w:val="center"/>
              <w:rPr>
                <w:rFonts w:ascii="Times New Roman" w:hAnsi="Times New Roman" w:eastAsia="SimSun;Arial Unicode MS" w:cs="Times New Roman"/>
                <w:b/>
                <w:b/>
                <w:color w:val="auto"/>
                <w:kern w:val="2"/>
                <w:sz w:val="24"/>
                <w:szCs w:val="24"/>
                <w:shd w:fill="auto" w:val="clear"/>
                <w:lang w:val="pt-BR" w:eastAsia="zh-CN" w:bidi="hi-IN"/>
              </w:rPr>
            </w:pPr>
            <w:r>
              <w:rPr>
                <w:rFonts w:eastAsia="SimSun;Arial Unicode MS" w:cs="Times New Roman" w:ascii="Times New Roman" w:hAnsi="Times New Roman"/>
                <w:b/>
                <w:color w:val="000000"/>
                <w:kern w:val="2"/>
                <w:sz w:val="24"/>
                <w:szCs w:val="24"/>
                <w:shd w:fill="auto" w:val="clear"/>
                <w:lang w:val="pt-BR" w:eastAsia="zh-CN" w:bidi="hi-IN"/>
              </w:rPr>
              <w:t>19.201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  <w:t>3.11.1 CENTRO DE ATENDIMENTO ESPECIALIZADO NA SAÚDE DA MULHER E DA CRIANÇA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numPr>
          <w:ilvl w:val="0"/>
          <w:numId w:val="33"/>
        </w:numPr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Foram realizados </w:t>
      </w: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3.133</w:t>
      </w: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 atendimentos no período;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30"/>
          <w:szCs w:val="30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30"/>
          <w:szCs w:val="30"/>
          <w:u w:val="none"/>
          <w:shd w:fill="auto" w:val="clear"/>
          <w:em w:val="none"/>
        </w:rPr>
        <w:t>3.11.2 – CENTRO DE REFERÊNCIA EM CUIDADOS TRANSPECÍFICOS – AMBULATÓRIO TRANSFERIDO: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numPr>
          <w:ilvl w:val="0"/>
          <w:numId w:val="34"/>
        </w:numPr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Foram realizados </w:t>
      </w:r>
      <w:r>
        <w:rPr>
          <w:rFonts w:eastAsia="Bookman Old Style"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 xml:space="preserve"> 1.194 </w:t>
      </w: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atendimentos no período;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eastAsia="Bookman Old Style" w:cs="Calibri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3.12. SAMU – SERVIÇO DE ATENDIMENTO MÓVEL DE URGÊNCIA</w:t>
      </w:r>
    </w:p>
    <w:p>
      <w:pPr>
        <w:pStyle w:val="Normal"/>
        <w:numPr>
          <w:ilvl w:val="0"/>
          <w:numId w:val="0"/>
        </w:numPr>
        <w:suppressAutoHyphens w:val="false"/>
        <w:snapToGrid w:val="false"/>
        <w:spacing w:lineRule="auto" w:line="360" w:before="0" w:after="0"/>
        <w:ind w:left="720" w:hanging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Capacitação de 100% dos profissionais da rede municipal em suporte básico de vida para leigos;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Preceptoria de alunos do curso de enfermagem da Escola Dom Bosco;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Solicitado conserto das ambulâncias e da motolândia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Compra de máscaras laríngeas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compra de baterias para os desfibriladores externos automáticos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compra de uniformes, botas e camisetas</w:t>
      </w:r>
    </w:p>
    <w:p>
      <w:pPr>
        <w:pStyle w:val="Contedodatabela"/>
        <w:numPr>
          <w:ilvl w:val="0"/>
          <w:numId w:val="35"/>
        </w:numPr>
        <w:snapToGrid w:val="false"/>
        <w:spacing w:lineRule="auto" w:line="360" w:before="0" w:after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Reforma do prédio</w:t>
      </w:r>
    </w:p>
    <w:p>
      <w:pPr>
        <w:pStyle w:val="Contedodatabela"/>
        <w:numPr>
          <w:ilvl w:val="0"/>
          <w:numId w:val="0"/>
        </w:numPr>
        <w:snapToGrid w:val="false"/>
        <w:spacing w:lineRule="auto" w:line="360" w:before="0" w:after="0"/>
        <w:ind w:left="720" w:hanging="0"/>
        <w:jc w:val="left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uppressAutoHyphens w:val="false"/>
        <w:snapToGrid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AÇÕES EM DESTAQUE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Internato do Curso de Medicina da PUC;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Técnico de Enfermagem da Escola Dom Bosco;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de Enfermagem da PUC;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Estágio dos alunos do curso de Enfermagem da Pitágoras;</w:t>
      </w:r>
    </w:p>
    <w:p>
      <w:pPr>
        <w:pStyle w:val="Normal"/>
        <w:numPr>
          <w:ilvl w:val="0"/>
          <w:numId w:val="36"/>
        </w:numPr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Capacitação dos professores do Ensino Fundamental e médio da rede municipal em suporte básico de vida</w:t>
      </w:r>
    </w:p>
    <w:p>
      <w:pPr>
        <w:pStyle w:val="Normal"/>
        <w:suppressAutoHyphens w:val="false"/>
        <w:snapToGrid w:val="false"/>
        <w:spacing w:lineRule="auto" w:line="360" w:before="0" w:after="0"/>
        <w:jc w:val="left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 w:cs="Calibri"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3.13. ASSISTÊNCIA FARMACÊUTICA</w:t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REALIZADA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Avaliação e projeto para reestruturação física das instalações das unidades de Farmácias Municipais das zonas Leste, Oeste e Sul junto à Secretaria Municipal de Saúde e Vigilância Sanitária.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reuniões para Lei Municipal nº 9.678, que institui o Programa Farmácia Viva no Município. 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capacitação para Lei Municipal n° 9650, que institui no Município a concessão do Sensor e Medidor Eletrônico de Glicemia às crianças diabéticas. 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2 reuniões da Comissão de Farmácia e Terapêutica - CFT para atualização da REMUME (Relação Municipal de Medicamentos Essenciais)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Atendimento aos usuários da Assistência Farmacêutica Municipal, unidades de farmácia, totalizando 110.497 prescrições atendidas no quadrimestre.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Realização de 02 pregões para aquisição de medicamentos pela Assistência Farmacêutica Municipal, análise de documentação e contratos com fornecedores no 2º quadrimestre.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Aquisições emergenciais para suprir demandas reprimidas de medicamentos que frustraram nos pregões realizados, a fim de não interromper o fornecimento aos usuários do SUS.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Solicitação de preenchimento do quadro de funcionários da Divisão de Assistência Farmacêutica à SMS.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Acompanhamento e análise das solicitações de avaliações especiais recebidas na SMS em relação a medicamentos (CASE).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Acompanhamento das ações da Assistência Farmacêutica no Plano Municipal de Saúde e Programação Anual de Saúde.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Gerenciamento, balanços e controle de estoque de medicamentos em todas as unidades.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resposta as ouvidorias.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pareceres técnicos de medicamentos solicitados a CASE.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Elaboração de resposta aos requerimentos de informação da Câmara de Vereadores de Poços de Caldas.</w:t>
      </w:r>
    </w:p>
    <w:p>
      <w:pPr>
        <w:pStyle w:val="Normal"/>
        <w:numPr>
          <w:ilvl w:val="0"/>
          <w:numId w:val="37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Ações educativas e informativas nas mídias sociais e televisivas.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0"/>
        <w:ind w:left="720" w:hanging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0"/>
        <w:ind w:left="720" w:hanging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eastAsia="Calibri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AÇÃO EM DESTAQUE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Avaliação e projeto para reestruturação física das instalações das unidades de Farmácias Municipais das zonas Leste, Oeste e Sul junto à Secretaria Municipal de Saúde e Vigilância Sanitária.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 e procedimentos para adequação da Lei Municipal n 9650, que institui no Município a concessão do Sensor e Medidor Eletrônico de Glicemia às crianças diabéticas. 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Implementação de normas, protocolos, procedimentos e reuniões para Lei Municipal nº 9.678, que institui o Programa Farmácia Viva no Município. </w:t>
      </w:r>
    </w:p>
    <w:p>
      <w:pPr>
        <w:pStyle w:val="Normal"/>
        <w:numPr>
          <w:ilvl w:val="0"/>
          <w:numId w:val="38"/>
        </w:numPr>
        <w:suppressAutoHyphens w:val="false"/>
        <w:spacing w:lineRule="auto" w:line="360" w:before="0" w:after="0"/>
        <w:jc w:val="both"/>
        <w:rPr>
          <w:rFonts w:ascii="Arial" w:hAnsi="Arial" w:eastAsia="Calibri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Atendimento aos usuários da Assistência Farmacêutica Municipal, unidades de farmácia, totalizando 110.497 prescrições atendidas no quadrimestre.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0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3.14. COMISSÃO DE ANÁLISE DE SOLICITAÇÕES ESPECIAIS (CASE)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Quadro 3. Comissão de Análise de Solicitações Especiais/CASE – 2º Quadrimestre 2023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 w:cs="Calibri"/>
          <w:b w:val="false"/>
          <w:b w:val="false"/>
          <w:bCs w:val="false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</w:r>
    </w:p>
    <w:tbl>
      <w:tblPr>
        <w:tblW w:w="9252" w:type="dxa"/>
        <w:jc w:val="left"/>
        <w:tblInd w:w="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1"/>
        <w:gridCol w:w="1830"/>
      </w:tblGrid>
      <w:tr>
        <w:trPr/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Número de solicitações para aquisição de medicamentos não padronizados e aquisição de exames / cirurgias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384</w:t>
            </w:r>
          </w:p>
        </w:tc>
      </w:tr>
      <w:tr>
        <w:trPr/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Medicamentos / Insumos Autorizados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161</w:t>
            </w:r>
          </w:p>
        </w:tc>
      </w:tr>
      <w:tr>
        <w:trPr/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Exames / Cirurgias Autorizados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13</w:t>
            </w:r>
          </w:p>
        </w:tc>
      </w:tr>
      <w:tr>
        <w:trPr/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color w:val="000000"/>
                <w:sz w:val="24"/>
                <w:szCs w:val="24"/>
                <w:shd w:fill="auto" w:val="clear"/>
              </w:rPr>
              <w:t>Número de pareceres CASE Medicamentos / Insumos / Exames e Cirurgias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bidi w:val="0"/>
              <w:spacing w:lineRule="auto" w:line="427" w:before="0" w:after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auto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none"/>
                <w:shd w:fill="auto" w:val="clear"/>
              </w:rPr>
              <w:t>204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3.15. SENTENÇAS JUDICIAIS</w:t>
      </w:r>
    </w:p>
    <w:p>
      <w:pPr>
        <w:pStyle w:val="Normal"/>
        <w:tabs>
          <w:tab w:val="clear" w:pos="720"/>
          <w:tab w:val="left" w:pos="1391" w:leader="none"/>
        </w:tabs>
        <w:spacing w:lineRule="auto" w:line="360" w:before="0" w:after="0"/>
        <w:ind w:left="340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 xml:space="preserve">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Quadro 4. Sentenças Judiciais – Terceiro Quadrimestre 2023</w:t>
      </w:r>
    </w:p>
    <w:tbl>
      <w:tblPr>
        <w:tblW w:w="9252" w:type="dxa"/>
        <w:jc w:val="left"/>
        <w:tblInd w:w="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421"/>
        <w:gridCol w:w="1830"/>
      </w:tblGrid>
      <w:tr>
        <w:trPr/>
        <w:tc>
          <w:tcPr>
            <w:tcW w:w="7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Sentenças Judiciais – processos novos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46</w:t>
            </w:r>
          </w:p>
        </w:tc>
      </w:tr>
      <w:tr>
        <w:trPr/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Média de atendimento mensal  (pacientes)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-</w:t>
            </w:r>
          </w:p>
        </w:tc>
      </w:tr>
      <w:tr>
        <w:trPr/>
        <w:tc>
          <w:tcPr>
            <w:tcW w:w="74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Valor gasto com judicialização</w:t>
            </w:r>
          </w:p>
        </w:tc>
        <w:tc>
          <w:tcPr>
            <w:tcW w:w="1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Arial" w:hAnsi="Arial" w:cs="Calibri"/>
                <w:i w:val="false"/>
                <w:i w:val="false"/>
                <w:i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Arial" w:hAnsi="Arial"/>
                <w:i w:val="false"/>
                <w:iCs w:val="false"/>
                <w:color w:val="000000"/>
                <w:sz w:val="24"/>
                <w:szCs w:val="24"/>
                <w:shd w:fill="auto" w:val="clear"/>
              </w:rPr>
              <w:t>R$3.164.947,74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 MEDICINA SOCIAL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3.16.1. Programa de Fraldas Descartáveis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beneficiados 1276 usuários, sendo:1120 adultos e 156 adolescentes e crianças;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liberadas 3744 pacotes de fraldas.</w:t>
      </w:r>
    </w:p>
    <w:p>
      <w:pPr>
        <w:pStyle w:val="Normal"/>
        <w:numPr>
          <w:ilvl w:val="0"/>
          <w:numId w:val="39"/>
        </w:numPr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beneficiados 2085 pacientes com dietas e suplementos alimentares e liberados 20.734 latas de dietas e suplementos.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3.16.2. Programa Municipal de Ajuda de Custo com Energia Elétrica para pacientes em uso de Concentrador de Oxigênio Domiciliar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1235 solicitações para cálculos e cheques para pagamentos de avaliações em atrasos no valor R$ 224.333,52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1 solicitações para cálculos de cheques para pagamentos mensais, somando o valor de R$ 289,76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Durante o primeiro quadrimestre de 2023, foram restituídos aos cofres públicos o valor de R$ 93.793,01</w:t>
      </w:r>
    </w:p>
    <w:p>
      <w:pPr>
        <w:pStyle w:val="Normal"/>
        <w:numPr>
          <w:ilvl w:val="0"/>
          <w:numId w:val="40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realizados 9 cálculos para pagamentos via CEJUSC (Centros Judiciários de Solução de Conflitos e Cidadania), totalizando R$ 2.130,15</w:t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3.16.3. Programa de Órtese e Prótese Ortopédica</w:t>
      </w:r>
    </w:p>
    <w:p>
      <w:pPr>
        <w:pStyle w:val="Normal"/>
        <w:numPr>
          <w:ilvl w:val="0"/>
          <w:numId w:val="0"/>
        </w:numPr>
        <w:spacing w:lineRule="auto" w:line="360" w:before="0" w:after="0"/>
        <w:ind w:left="72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No terceiro quadrimestre de 2023 foram agendadas 19 consultas ortopédicas;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encaminhados para Varginha-MG, 19 órteses e próteses ortopédicas;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Foram encaminhados 2 pacientes para Alfenas-MG, para avaliação de prótese ocular;</w:t>
      </w:r>
    </w:p>
    <w:p>
      <w:pPr>
        <w:pStyle w:val="Normal"/>
        <w:numPr>
          <w:ilvl w:val="0"/>
          <w:numId w:val="41"/>
        </w:numPr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Conforme quadro abaixo: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tbl>
      <w:tblPr>
        <w:tblW w:w="629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4139"/>
      </w:tblGrid>
      <w:tr>
        <w:trPr/>
        <w:tc>
          <w:tcPr>
            <w:tcW w:w="62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Órtese e Prótese Ortopédica encaminhadas para Varginha – MG e Prótese Ocular para Alfenas-MG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1ª vez / troca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11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Avaliações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Fisioterapia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141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Tirar medidas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4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Entrega de aparelho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34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Reajuste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8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Prótese Ocular Alfenas - MG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2</w:t>
            </w:r>
          </w:p>
        </w:tc>
      </w:tr>
      <w:tr>
        <w:trPr/>
        <w:tc>
          <w:tcPr>
            <w:tcW w:w="21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Total</w:t>
            </w:r>
          </w:p>
        </w:tc>
        <w:tc>
          <w:tcPr>
            <w:tcW w:w="41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color w:val="000000"/>
                <w:shd w:fill="auto" w:val="clear"/>
              </w:rPr>
              <w:t>175</w:t>
            </w:r>
          </w:p>
        </w:tc>
      </w:tr>
    </w:tbl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4. INDICADORES DE MONITORAMENTO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4.1. INDICADORES DE SAÚDE PASSÍVEIS DE MONITORAMENTO QUADRIMESTRAL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Quadro 5 . Indicadores de saúde com resultados passíveis de apuração quadrimestral. Poços de Caldas</w:t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tLeast" w:line="100" w:before="0" w:after="0"/>
        <w:ind w:left="0" w:right="0" w:hanging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tbl>
      <w:tblPr>
        <w:tblW w:w="9657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55"/>
        <w:gridCol w:w="2820"/>
        <w:gridCol w:w="3582"/>
      </w:tblGrid>
      <w:tr>
        <w:trPr>
          <w:trHeight w:val="780" w:hRule="atLeast"/>
        </w:trPr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Padro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color w:val="000000"/>
                <w:position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Calibri" w:ascii="Calibri" w:hAnsi="Calibri"/>
                <w:b/>
                <w:color w:val="000000"/>
                <w:sz w:val="24"/>
                <w:szCs w:val="24"/>
                <w:shd w:fill="auto" w:val="clear"/>
              </w:rPr>
              <w:t>INDICADOR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b/>
                <w:b/>
                <w:i w:val="false"/>
                <w:i w:val="false"/>
                <w:color w:val="auto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</w:pPr>
            <w:r>
              <w:rPr>
                <w:rFonts w:cs="Calibri" w:ascii="Calibri" w:hAnsi="Calibri"/>
                <w:b/>
                <w:i w:val="false"/>
                <w:color w:val="000000"/>
                <w:position w:val="0"/>
                <w:sz w:val="24"/>
                <w:sz w:val="24"/>
                <w:szCs w:val="24"/>
                <w:shd w:fill="auto" w:val="clear"/>
                <w:vertAlign w:val="baseline"/>
              </w:rPr>
              <w:t>RESULTADO</w:t>
            </w:r>
          </w:p>
          <w:p>
            <w:pPr>
              <w:pStyle w:val="Gray3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3</w:t>
            </w:r>
            <w:r>
              <w:rPr>
                <w:rFonts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º QUAD/2023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b/>
                <w:b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/>
                <w:i w:val="false"/>
                <w:color w:val="000000"/>
                <w:sz w:val="24"/>
                <w:szCs w:val="24"/>
                <w:shd w:fill="auto" w:val="clear"/>
              </w:rPr>
              <w:t>ANÁLISE  DO INDICADOR</w:t>
            </w:r>
          </w:p>
          <w:p>
            <w:pPr>
              <w:pStyle w:val="Contedodatabela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1904" w:hRule="atLeast"/>
        </w:trPr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PROPORÇÃO DE ÓBITOS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INFANTIS E</w:t>
            </w:r>
          </w:p>
          <w:p>
            <w:pPr>
              <w:pStyle w:val="Gray2"/>
              <w:widowControl w:val="false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        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FETAIS INVESTIGADOS</w:t>
            </w:r>
          </w:p>
          <w:p>
            <w:pPr>
              <w:pStyle w:val="Padro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bCs w:val="false"/>
                <w:shadow w:val="false"/>
                <w:color w:val="000000"/>
                <w:sz w:val="24"/>
                <w:szCs w:val="24"/>
                <w:shd w:fill="auto" w:val="clear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>Infantil 01</w:t>
            </w:r>
          </w:p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bCs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 xml:space="preserve">   </w:t>
            </w:r>
            <w:r>
              <w:rPr>
                <w:rFonts w:cs="Calibri" w:ascii="Calibri" w:hAnsi="Calibri"/>
                <w:b w:val="false"/>
                <w:bCs w:val="false"/>
                <w:i w:val="false"/>
                <w:shadow w:val="false"/>
                <w:color w:val="000000"/>
                <w:sz w:val="24"/>
                <w:szCs w:val="24"/>
                <w:shd w:fill="auto" w:val="clear"/>
              </w:rPr>
              <w:t>Fetal    09</w:t>
            </w:r>
          </w:p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2"/>
              <w:widowControl w:val="false"/>
              <w:jc w:val="left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>Ocorreram 01 óbitos infantis no 3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º quadrimestre e 09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 xml:space="preserve"> óbitos fetais.</w:t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Gray3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1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PROPORÇÃO DE ÓBITOS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MATERNOS</w:t>
            </w:r>
          </w:p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INVESTIGADOS</w:t>
            </w:r>
          </w:p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-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b w:val="false"/>
                <w:b w:val="false"/>
                <w:i w:val="false"/>
                <w:i w:val="false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>-</w:t>
            </w:r>
          </w:p>
          <w:p>
            <w:pPr>
              <w:pStyle w:val="Gray2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</w:tr>
      <w:tr>
        <w:trPr>
          <w:trHeight w:val="1039" w:hRule="atLeast"/>
        </w:trPr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position w:val="1"/>
                <w:sz w:val="24"/>
                <w:szCs w:val="24"/>
                <w:shd w:fill="auto" w:val="clear"/>
              </w:rPr>
              <w:t>PROPORÇÃO</w:t>
            </w: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 DE ÓBITOS DE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MULHERES</w:t>
            </w:r>
          </w:p>
          <w:p>
            <w:pPr>
              <w:pStyle w:val="Gray2"/>
              <w:widowControl w:val="false"/>
              <w:jc w:val="center"/>
              <w:rPr>
                <w:color w:val="auto"/>
                <w:shd w:fill="auto" w:val="clear"/>
              </w:rPr>
            </w:pPr>
            <w:r>
              <w:rPr>
                <w:rFonts w:cs="Calibri" w:ascii="Calibri" w:hAnsi="Calibri"/>
                <w:b w:val="false"/>
                <w:i w:val="false"/>
                <w:color w:val="000000"/>
                <w:sz w:val="24"/>
                <w:szCs w:val="24"/>
                <w:shd w:fill="auto" w:val="clear"/>
              </w:rPr>
              <w:t xml:space="preserve">EM IDADE FÉRTIL </w:t>
            </w: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INVESTIGADOS</w:t>
            </w:r>
          </w:p>
          <w:p>
            <w:pPr>
              <w:pStyle w:val="Gray1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Ocorreram 13 óbitos em MIF.</w:t>
            </w:r>
          </w:p>
        </w:tc>
      </w:tr>
      <w:tr>
        <w:trPr/>
        <w:tc>
          <w:tcPr>
            <w:tcW w:w="32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Nº ABSOLUTO DE MORTE POR DENGUE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Gray2"/>
              <w:widowControl w:val="false"/>
              <w:jc w:val="center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35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Gray1"/>
              <w:widowControl w:val="false"/>
              <w:jc w:val="left"/>
              <w:rPr>
                <w:rFonts w:ascii="Calibri" w:hAnsi="Calibri" w:cs="Calibri"/>
                <w:color w:val="auto"/>
                <w:sz w:val="24"/>
                <w:szCs w:val="24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  <w:shd w:fill="auto" w:val="clear"/>
              </w:rPr>
              <w:t>Não houve caso por dengue no terceiro quadrimestre de 2023</w:t>
            </w:r>
          </w:p>
        </w:tc>
      </w:tr>
    </w:tbl>
    <w:p>
      <w:pPr>
        <w:pStyle w:val="Normal"/>
        <w:spacing w:lineRule="auto" w:line="360" w:before="0" w:after="0"/>
        <w:ind w:left="0" w:right="567" w:hanging="0"/>
        <w:jc w:val="left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ind w:left="0" w:right="567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ind w:left="0" w:right="567" w:hanging="0"/>
        <w:jc w:val="both"/>
        <w:rPr>
          <w:rFonts w:ascii="Arial" w:hAnsi="Arial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  <w:t>FONTE: Vigilância Epidemiológica – SMS – Poços de Caldas</w:t>
      </w:r>
    </w:p>
    <w:p>
      <w:pPr>
        <w:pStyle w:val="Padro"/>
        <w:widowControl/>
        <w:bidi w:val="0"/>
        <w:spacing w:lineRule="auto" w:line="360" w:before="0" w:after="0"/>
        <w:ind w:left="-225" w:right="567" w:firstLine="30"/>
        <w:jc w:val="both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3"/>
          <w:sz w:val="24"/>
          <w:szCs w:val="24"/>
          <w:u w:val="none"/>
          <w:shd w:fill="auto" w:val="clear"/>
          <w:em w:val="none"/>
        </w:rPr>
        <w:t xml:space="preserve">  </w:t>
      </w:r>
      <w:r>
        <w:rPr>
          <w:rFonts w:cs="Calibri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"/>
          <w:sz w:val="24"/>
          <w:szCs w:val="24"/>
          <w:u w:val="none"/>
          <w:shd w:fill="auto" w:val="clear"/>
          <w:em w:val="none"/>
        </w:rPr>
        <w:t xml:space="preserve">* </w:t>
      </w:r>
      <w:r>
        <w:rPr>
          <w:rFonts w:cs="Calibri" w:ascii="Arial" w:hAnsi="Arial"/>
          <w:b w:val="false"/>
          <w:bCs w:val="false"/>
          <w:color w:val="000000"/>
          <w:sz w:val="24"/>
          <w:szCs w:val="24"/>
          <w:shd w:fill="auto" w:val="clear"/>
        </w:rPr>
        <w:t>Conforme Caderno de Diretrizes, Objetivos , Metas e   Indicadores 2013-2015, MS, Brasília – DF,  2015.</w:t>
      </w:r>
    </w:p>
    <w:p>
      <w:pPr>
        <w:pStyle w:val="Normal"/>
        <w:spacing w:lineRule="auto" w:line="360" w:before="0" w:after="0"/>
        <w:ind w:left="0" w:right="567" w:hanging="0"/>
        <w:jc w:val="left"/>
        <w:rPr>
          <w:rFonts w:ascii="Calibri" w:hAnsi="Calibri" w:cs="Calibri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2"/>
          <w:sz w:val="24"/>
          <w:szCs w:val="24"/>
          <w:u w:val="none"/>
          <w:shd w:fill="auto" w:val="clear"/>
          <w:em w:val="none"/>
        </w:rPr>
      </w:pPr>
      <w:r>
        <w:rPr>
          <w:rFonts w:cs="Calibri" w:ascii="Calibri" w:hAnsi="Calibri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4"/>
          <w:szCs w:val="24"/>
          <w:u w:val="none"/>
          <w:shd w:fill="auto" w:val="clear"/>
          <w:em w:val="none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4.2. NASCIDOS VIVOS – RESIDENTES – 3º  QUADRIMESTRE 2023 – POÇOS DE CALDAS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Quadro 6.  Frequência de Nascidos vivos no terceiro quadrimestre de 2023. Poços de Caldas, Minas Gerais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Corpodotexto"/>
        <w:spacing w:lineRule="auto" w:line="360" w:before="0" w:after="0"/>
        <w:jc w:val="center"/>
        <w:rPr>
          <w:rFonts w:ascii="Calibri;sans-serif" w:hAnsi="Calibri;sans-serif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;sans-serif" w:hAnsi="Calibri;sans-serif"/>
          <w:b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>Nascidos Vivos - Residentes - Poços de Caldas – 2023</w:t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Corpodotexto"/>
        <w:spacing w:before="0" w:after="0"/>
        <w:rPr>
          <w:color w:val="auto"/>
          <w:shd w:fill="auto" w:val="clear"/>
        </w:rPr>
      </w:pPr>
      <w:r>
        <w:rPr>
          <w:color w:val="000000"/>
          <w:shd w:fill="auto" w:val="clear"/>
        </w:rPr>
      </w:r>
    </w:p>
    <w:tbl>
      <w:tblPr>
        <w:tblW w:w="8001" w:type="dxa"/>
        <w:jc w:val="center"/>
        <w:tblInd w:w="0" w:type="dxa"/>
        <w:tblLayout w:type="fixed"/>
        <w:tblCellMar>
          <w:top w:w="28" w:type="dxa"/>
          <w:left w:w="68" w:type="dxa"/>
          <w:bottom w:w="28" w:type="dxa"/>
          <w:right w:w="0" w:type="dxa"/>
        </w:tblCellMar>
      </w:tblPr>
      <w:tblGrid>
        <w:gridCol w:w="2732"/>
        <w:gridCol w:w="1067"/>
        <w:gridCol w:w="1017"/>
        <w:gridCol w:w="1135"/>
        <w:gridCol w:w="1249"/>
        <w:gridCol w:w="800"/>
      </w:tblGrid>
      <w:tr>
        <w:trPr/>
        <w:tc>
          <w:tcPr>
            <w:tcW w:w="2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Estabelecimento Saúde</w:t>
            </w:r>
          </w:p>
        </w:tc>
        <w:tc>
          <w:tcPr>
            <w:tcW w:w="5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right w:w="68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3º Quadrimestre</w:t>
            </w:r>
          </w:p>
        </w:tc>
      </w:tr>
      <w:tr>
        <w:trPr/>
        <w:tc>
          <w:tcPr>
            <w:tcW w:w="273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left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Setembro</w:t>
            </w:r>
          </w:p>
        </w:tc>
        <w:tc>
          <w:tcPr>
            <w:tcW w:w="1017" w:type="dxa"/>
            <w:tcBorders>
              <w:left w:val="single" w:sz="6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Outubro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Novembro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Dezembro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TOTAL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Santa Casa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116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121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6" w:space="0" w:color="000000"/>
            </w:tcBorders>
            <w:tcMar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119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473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Hospital Poços de Caldas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13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08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13</w:t>
            </w:r>
          </w:p>
        </w:tc>
        <w:tc>
          <w:tcPr>
            <w:tcW w:w="1249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09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43</w:t>
            </w:r>
          </w:p>
        </w:tc>
      </w:tr>
      <w:tr>
        <w:trPr>
          <w:trHeight w:val="360" w:hRule="atLeast"/>
        </w:trPr>
        <w:tc>
          <w:tcPr>
            <w:tcW w:w="2732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Unimed</w:t>
            </w:r>
          </w:p>
        </w:tc>
        <w:tc>
          <w:tcPr>
            <w:tcW w:w="1067" w:type="dxa"/>
            <w:tcBorders>
              <w:lef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04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05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04</w:t>
            </w:r>
          </w:p>
        </w:tc>
        <w:tc>
          <w:tcPr>
            <w:tcW w:w="1249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05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18</w:t>
            </w:r>
          </w:p>
        </w:tc>
      </w:tr>
      <w:tr>
        <w:trPr>
          <w:trHeight w:val="375" w:hRule="atLeast"/>
        </w:trPr>
        <w:tc>
          <w:tcPr>
            <w:tcW w:w="27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Domiciliar</w:t>
            </w:r>
          </w:p>
        </w:tc>
        <w:tc>
          <w:tcPr>
            <w:tcW w:w="1067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017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135" w:type="dxa"/>
            <w:tcBorders>
              <w:lef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00</w:t>
            </w:r>
          </w:p>
        </w:tc>
        <w:tc>
          <w:tcPr>
            <w:tcW w:w="1249" w:type="dxa"/>
            <w:tcBorders>
              <w:lef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01</w:t>
            </w:r>
          </w:p>
        </w:tc>
        <w:tc>
          <w:tcPr>
            <w:tcW w:w="800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color w:val="000000"/>
                <w:shd w:fill="auto" w:val="clear"/>
              </w:rPr>
              <w:t>01</w:t>
            </w:r>
          </w:p>
        </w:tc>
      </w:tr>
      <w:tr>
        <w:trPr>
          <w:trHeight w:val="375" w:hRule="atLeast"/>
        </w:trPr>
        <w:tc>
          <w:tcPr>
            <w:tcW w:w="273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</w:tcMar>
            <w:vAlign w:val="bottom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Total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133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134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right w:w="68" w:type="dxa"/>
            </w:tcMar>
            <w:vAlign w:val="center"/>
          </w:tcPr>
          <w:p>
            <w:pPr>
              <w:pStyle w:val="Contedodatabela"/>
              <w:widowControl w:val="false"/>
              <w:spacing w:before="0" w:after="283"/>
              <w:jc w:val="center"/>
              <w:rPr>
                <w:rFonts w:ascii="Calibri;sans-serif" w:hAnsi="Calibri;sans-serif"/>
                <w:b/>
                <w:b/>
                <w:color w:val="auto"/>
                <w:shd w:fill="auto" w:val="clear"/>
              </w:rPr>
            </w:pPr>
            <w:r>
              <w:rPr>
                <w:rFonts w:ascii="Calibri;sans-serif" w:hAnsi="Calibri;sans-serif"/>
                <w:b/>
                <w:color w:val="000000"/>
                <w:shd w:fill="auto" w:val="clear"/>
              </w:rPr>
              <w:t>535</w:t>
            </w:r>
          </w:p>
        </w:tc>
      </w:tr>
    </w:tbl>
    <w:p>
      <w:pPr>
        <w:pStyle w:val="Corpodotexto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Fonte: Vigilância Epidemiológica. SMS. Poços de Caldas.</w:t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 xml:space="preserve">4.3. AGRAVOS NOTIFICADOS E REGISTRADOS NO SINAN LOCAL- 3º QUADRIMESTRE 2023 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Quadro 7.  Agravos no terceiro quadrimestre de 2023. Poços de Caldas, Minas Gerais.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tbl>
      <w:tblPr>
        <w:tblW w:w="5840" w:type="dxa"/>
        <w:jc w:val="left"/>
        <w:tblInd w:w="52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819"/>
        <w:gridCol w:w="2020"/>
      </w:tblGrid>
      <w:tr>
        <w:trPr>
          <w:trHeight w:val="900" w:hRule="atLeast"/>
        </w:trPr>
        <w:tc>
          <w:tcPr>
            <w:tcW w:w="3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Agravos notificados</w:t>
            </w:r>
          </w:p>
        </w:tc>
        <w:tc>
          <w:tcPr>
            <w:tcW w:w="20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b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Total notificado (Entre confirmados e descartados)</w:t>
            </w:r>
          </w:p>
        </w:tc>
      </w:tr>
      <w:tr>
        <w:trPr>
          <w:trHeight w:val="300" w:hRule="atLeast"/>
        </w:trPr>
        <w:tc>
          <w:tcPr>
            <w:tcW w:w="381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020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B41  PARACOCCIDIOIDOMICOSE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A539 SIFILIS NAO ESPECIFICADA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103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Z206 CRIANCA EXPOSTA HIV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A279 LEPTOSPIROSE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A169 TUBERCULOSE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B26  CAXUMBA [PAROTIDITE EPIDEMICA]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B24  AIDS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17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Y96  ACIDENTE DE TRABALHO GRAVE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Z579 LER DORT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A779 FEBRE MACULOSA / RICKETTSIOSES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B19  HEPATITES VIRAIS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08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G610 SINDROME DE GUILLAIN-BARRE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Z209 ACIDENTE DE TRABALHO COM EXPOSICAO A MATERIAL BIOLOGICO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A379 COQUELUCHE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A509 SIFILIS CONGENITA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07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O981 SIFILIS EM GESTANTE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18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Y09  VIOLENCIA INTERPESSOAL/AUTOPROVOCADA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P371 TOXOPLASMOSE CONGENITA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9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O986 DOENCAS CAUSADAS POR PROTOZOARIOS COMPLICANDO A GRAVIDEZ,O PARTO E O PUERPERIO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05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B01  VARICELA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06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T659 INTOXICACAO EXOGENA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37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P96  OUTRAS AFECCOES ORIGINADAS NO PERIODO PERINATAL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W64  ATENDIMENTO ANTI-RABICO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294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B550 LEISHMANIOSE VISCERAL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01</w:t>
            </w:r>
          </w:p>
        </w:tc>
      </w:tr>
      <w:tr>
        <w:trPr>
          <w:trHeight w:val="6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X29  ACIDENTE POR ANIMAIS PECONHENTOS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82</w:t>
            </w:r>
          </w:p>
        </w:tc>
      </w:tr>
      <w:tr>
        <w:trPr>
          <w:trHeight w:val="300" w:hRule="atLeast"/>
        </w:trPr>
        <w:tc>
          <w:tcPr>
            <w:tcW w:w="381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A90 - DENGUE</w:t>
            </w:r>
          </w:p>
        </w:tc>
        <w:tc>
          <w:tcPr>
            <w:tcW w:w="20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32</w:t>
            </w:r>
          </w:p>
        </w:tc>
      </w:tr>
      <w:tr>
        <w:trPr>
          <w:trHeight w:val="315" w:hRule="atLeast"/>
        </w:trPr>
        <w:tc>
          <w:tcPr>
            <w:tcW w:w="381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rPr>
                <w:rFonts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Calibri" w:cs="Calibri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 xml:space="preserve"> </w:t>
            </w: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A92.0 - FEBRE DE CHIKUNGUNYA</w:t>
            </w:r>
          </w:p>
        </w:tc>
        <w:tc>
          <w:tcPr>
            <w:tcW w:w="20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right"/>
              <w:rPr>
                <w:rFonts w:ascii="Calibri" w:hAnsi="Calibri" w:eastAsia="Times New Roman" w:cs="Times New Roman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</w:pPr>
            <w:r>
              <w:rPr>
                <w:rFonts w:eastAsia="Times New Roman" w:cs="Times New Roman" w:ascii="Calibri" w:hAnsi="Calibri"/>
                <w:color w:val="000000"/>
                <w:kern w:val="0"/>
                <w:sz w:val="22"/>
                <w:szCs w:val="22"/>
                <w:shd w:fill="auto" w:val="clear"/>
                <w:lang w:eastAsia="pt-BR" w:bidi="ar-SA"/>
              </w:rPr>
              <w:t>13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5. INFORMAÇÕES SOBRE AUDITORIAS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Quadro 8. Relatório de Auditorias </w:t>
      </w:r>
      <w:r>
        <w:rPr>
          <w:rFonts w:cs="Calibri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position w:val="1"/>
          <w:sz w:val="26"/>
          <w:szCs w:val="26"/>
          <w:u w:val="none"/>
          <w:shd w:fill="auto" w:val="clear"/>
          <w:em w:val="none"/>
        </w:rPr>
        <w:t>realizadas ou em fase de execu</w:t>
      </w:r>
      <w:r>
        <w:rPr>
          <w:rFonts w:cs="Calibri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kern w:val="2"/>
          <w:sz w:val="26"/>
          <w:szCs w:val="26"/>
          <w:u w:val="none"/>
          <w:shd w:fill="auto" w:val="clear"/>
          <w:em w:val="none"/>
        </w:rPr>
        <w:t xml:space="preserve">ção no terceiro quadrimestre/2023 e suas recomendações e determinações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6"/>
          <w:szCs w:val="26"/>
          <w:u w:val="none"/>
          <w:shd w:fill="auto" w:val="clear"/>
        </w:rPr>
        <w:t>- SMS – Setembro à Dezembro_2023, Poços de Caldas, MG.</w:t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spacing w:lineRule="atLeast" w:line="100" w:before="0" w:after="0"/>
        <w:ind w:left="57" w:right="0" w:hanging="0"/>
        <w:jc w:val="both"/>
        <w:rPr>
          <w:rFonts w:ascii="Arial" w:hAnsi="Arial"/>
          <w:color w:val="auto"/>
          <w:shd w:fill="auto" w:val="clear"/>
        </w:rPr>
      </w:pPr>
      <w:r>
        <w:rPr>
          <w:rFonts w:ascii="Arial" w:hAnsi="Arial"/>
          <w:color w:val="000000"/>
          <w:shd w:fill="auto" w:val="clear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/>
          <w:color w:val="auto"/>
          <w:shd w:fill="auto" w:val="clear"/>
        </w:rPr>
      </w:pPr>
      <w:r>
        <w:rPr>
          <w:rFonts w:eastAsia="Calibri" w:cs="Calibri" w:ascii="Arial" w:hAnsi="Arial"/>
          <w:b/>
          <w:bCs/>
          <w:color w:val="000000"/>
          <w:sz w:val="24"/>
          <w:szCs w:val="24"/>
          <w:shd w:fill="auto" w:val="clear"/>
          <w:lang w:val="pt-PT"/>
        </w:rPr>
        <w:t xml:space="preserve">   </w:t>
      </w:r>
      <w:r>
        <w:rPr>
          <w:rFonts w:eastAsia="Bookman Old Style" w:cs="Calibri" w:ascii="Arial" w:hAnsi="Arial"/>
          <w:b/>
          <w:bCs/>
          <w:color w:val="000000"/>
          <w:sz w:val="24"/>
          <w:szCs w:val="24"/>
          <w:shd w:fill="auto" w:val="clear"/>
          <w:lang w:val="pt-PT"/>
        </w:rPr>
        <w:t xml:space="preserve">AUDITORIA: </w:t>
      </w:r>
      <w:r>
        <w:rPr>
          <w:rFonts w:eastAsia="Bookman Old Style" w:cs="Calibri" w:ascii="Arial" w:hAnsi="Arial"/>
          <w:color w:val="000000"/>
          <w:sz w:val="24"/>
          <w:szCs w:val="24"/>
          <w:shd w:fill="auto" w:val="clear"/>
          <w:lang w:val="pt-PT"/>
        </w:rPr>
        <w:t xml:space="preserve">Demandante:  CAM – CONTROLADORIA DE AUDITORIA MUNICIPAL </w:t>
      </w:r>
    </w:p>
    <w:p>
      <w:pPr>
        <w:pStyle w:val="Standard"/>
        <w:widowControl w:val="false"/>
        <w:suppressAutoHyphens w:val="true"/>
        <w:ind w:left="0" w:right="0" w:firstLine="180"/>
        <w:jc w:val="both"/>
        <w:textAlignment w:val="baseline"/>
        <w:rPr>
          <w:rFonts w:ascii="Arial" w:hAnsi="Arial" w:eastAsia="Bookman Old Style" w:cs="Calibri"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Arial" w:hAnsi="Arial"/>
          <w:color w:val="000000"/>
          <w:sz w:val="24"/>
          <w:szCs w:val="24"/>
          <w:shd w:fill="auto" w:val="clear"/>
          <w:lang w:val="pt-PT"/>
        </w:rPr>
        <w:t>ÓRGÃO RESPONSÁVEL PELA AUDITORIA: SAM – SERVIÇO DE AUDITORIA MUNICIPAL</w:t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>FONTE: CONTROLE E AVALIAÇÃO -  SMS – POÇOS DE CALDAS/MG</w:t>
      </w: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  <w:t xml:space="preserve">   </w:t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840" w:right="1121" w:gutter="0" w:header="915" w:top="1290" w:footer="1135" w:bottom="1305"/>
          <w:pgNumType w:fmt="decimal"/>
          <w:formProt w:val="false"/>
          <w:titlePg/>
          <w:textDirection w:val="lrTb"/>
          <w:docGrid w:type="default" w:linePitch="312" w:charSpace="0"/>
        </w:sect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Arial" w:hAnsi="Arial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  <w:lang w:val="pt-PT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Standard"/>
        <w:widowControl w:val="false"/>
        <w:suppressAutoHyphens w:val="true"/>
        <w:spacing w:lineRule="atLeast" w:line="100" w:before="0" w:after="0"/>
        <w:ind w:left="0" w:right="0" w:firstLine="180"/>
        <w:jc w:val="both"/>
        <w:textAlignment w:val="baseline"/>
        <w:rPr>
          <w:rFonts w:ascii="Calibri" w:hAnsi="Calibri" w:eastAsia="Bookman Old Style" w:cs="Calibri"/>
          <w:b/>
          <w:b/>
          <w:bCs/>
          <w:color w:val="auto"/>
          <w:sz w:val="24"/>
          <w:szCs w:val="24"/>
          <w:shd w:fill="auto" w:val="clear"/>
          <w:lang w:val="pt-PT"/>
        </w:rPr>
      </w:pPr>
      <w:r>
        <w:rPr>
          <w:rFonts w:eastAsia="Bookman Old Style" w:cs="Calibri" w:ascii="Calibri" w:hAnsi="Calibri"/>
          <w:b/>
          <w:bCs/>
          <w:color w:val="000000"/>
          <w:sz w:val="24"/>
          <w:szCs w:val="24"/>
          <w:shd w:fill="auto" w:val="clear"/>
          <w:lang w:val="pt-PT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203180" cy="2560320"/>
            <wp:effectExtent l="0" t="0" r="0" b="0"/>
            <wp:wrapSquare wrapText="largest"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318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headerReference w:type="default" r:id="rId8"/>
          <w:footerReference w:type="default" r:id="rId9"/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widowControl w:val="false"/>
        <w:suppressAutoHyphens w:val="true"/>
        <w:overflowPunct w:val="false"/>
        <w:bidi w:val="0"/>
        <w:spacing w:lineRule="auto" w:line="360" w:before="0" w:after="0"/>
        <w:ind w:left="0" w:right="420" w:hanging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-371475</wp:posOffset>
            </wp:positionH>
            <wp:positionV relativeFrom="paragraph">
              <wp:posOffset>116205</wp:posOffset>
            </wp:positionV>
            <wp:extent cx="9951085" cy="517525"/>
            <wp:effectExtent l="0" t="0" r="0" b="0"/>
            <wp:wrapTopAndBottom/>
            <wp:docPr id="2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085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 PRODUÇÃO DOS SERVIÇOS DE SAÚDE</w:t>
      </w:r>
    </w:p>
    <w:p>
      <w:pPr>
        <w:pStyle w:val="Normal"/>
        <w:jc w:val="left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ascii="Arial" w:hAnsi="Arial"/>
          <w:b/>
          <w:bCs/>
          <w:color w:val="000000"/>
          <w:shd w:fill="auto" w:val="clear"/>
        </w:rPr>
        <w:t>6.1 PRODUÇÃO HOSPITALAR  (INTERNAÇÕES) POR COMPLEXIDADE</w:t>
      </w:r>
    </w:p>
    <w:p>
      <w:pPr>
        <w:pStyle w:val="Normal"/>
        <w:spacing w:lineRule="atLeast" w:line="10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3º Quadrimestre de 2023 (setembro a dezembro)</w:t>
      </w:r>
    </w:p>
    <w:p>
      <w:pPr>
        <w:pStyle w:val="Normal"/>
        <w:spacing w:lineRule="atLeast" w:line="10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2801" w:dyaOrig="2305">
          <v:shapetype id="_x0000_tole_rId10" coordsize="21600,21600" o:spt="ole_rId10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0" type="_x0000_tole_rId10" style="position:absolute;margin-left:-6.05pt;margin-top:1.35pt;width:532.65pt;height:129.45pt;mso-wrap-distance-right:0pt;mso-position-horizontal-relative:text;mso-position-vertical-relative:text" filled="f" o:ole="">
            <v:imagedata r:id="rId11" o:title=""/>
            <w10:wrap type="square"/>
          </v:shape>
          <o:OLEObject Type="Embed" ProgID="Excel.Sheet.12" ShapeID="ole_rId10" DrawAspect="Content" ObjectID="_568672151" r:id="rId10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6401" w:dyaOrig="2048">
          <v:shapetype id="_x0000_tole_rId12" coordsize="21600,21600" o:spt="ole_rId1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2" type="_x0000_tole_rId12" style="position:absolute;margin-left:61.3pt;margin-top:1.35pt;width:425.25pt;height:144.1pt;mso-wrap-distance-right:0pt;mso-position-horizontal-relative:text;mso-position-vertical-relative:text" filled="f" o:ole="">
            <v:imagedata r:id="rId13" o:title=""/>
            <w10:wrap type="square"/>
          </v:shape>
          <o:OLEObject Type="Embed" ProgID="Excel.Sheet.12" ShapeID="ole_rId12" DrawAspect="Content" ObjectID="_1531610773" r:id="rId12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Times New Roman" w:cs="Times New Roman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6"/>
          <w:szCs w:val="26"/>
          <w:u w:val="none"/>
          <w:shd w:fill="auto" w:val="clear"/>
        </w:rPr>
      </w:pPr>
      <w:r>
        <w:rPr>
          <w:rFonts w:eastAsia="Times New Roman" w:cs="Times New Roman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 </w:t>
      </w: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6"/>
          <w:szCs w:val="26"/>
          <w:u w:val="none"/>
          <w:shd w:fill="auto" w:val="clear"/>
        </w:rPr>
        <w:t xml:space="preserve">Fonte: MS/Datasus/arquivo RD/TabWin 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  <w:t>6.2 PRODUÇÃO DA REDE ASSISTENCIAL - PRODUÇÃO AMBULATORIAL</w:t>
      </w:r>
    </w:p>
    <w:p>
      <w:pPr>
        <w:pStyle w:val="Normal"/>
        <w:jc w:val="left"/>
        <w:rPr>
          <w:rFonts w:ascii="Arial" w:hAnsi="Arial" w:cs="Calibri"/>
          <w:b/>
          <w:b/>
          <w:bCs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b/>
          <w:bCs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3º Quadrimestre de 2023 (SETEMBRO, OUTUBRO, NOVEMBRO, DEZEMBRO)</w: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6641" w:dyaOrig="16129">
          <v:shapetype id="_x0000_tole_rId14" coordsize="21600,21600" o:spt="ole_rId14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4" type="_x0000_tole_rId14" style="position:absolute;margin-left:-0.6pt;margin-top:12.65pt;width:481.75pt;height:686.75pt;mso-wrap-distance-right:0pt;mso-position-horizontal-relative:text;mso-position-vertical-relative:text" filled="f" o:ole="">
            <v:imagedata r:id="rId15" o:title=""/>
            <w10:wrap type="square"/>
          </v:shape>
          <o:OLEObject Type="Embed" ProgID="Excel.Sheet.12" ShapeID="ole_rId14" DrawAspect="Content" ObjectID="_270302355" r:id="rId14"/>
        </w:object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bidi w:val="0"/>
        <w:spacing w:lineRule="auto" w:line="360" w:before="0" w:after="0"/>
        <w:jc w:val="center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6641" w:dyaOrig="6913">
          <v:shapetype id="_x0000_tole_rId16" coordsize="21600,21600" o:spt="ole_rId16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6" type="_x0000_tole_rId16" style="position:absolute;margin-left:-7.85pt;margin-top:13.95pt;width:529.4pt;height:266.3pt;mso-wrap-distance-right:0pt;mso-position-horizontal-relative:text;mso-position-vertical-relative:text" filled="f" o:ole="">
            <v:imagedata r:id="rId17" o:title=""/>
            <w10:wrap type="square"/>
          </v:shape>
          <o:OLEObject Type="Embed" ProgID="Excel.Sheet.12" ShapeID="ole_rId16" DrawAspect="Content" ObjectID="_832543217" r:id="rId16"/>
        </w:object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6.3 .PRODUÇÃO HOSPITALAR  (INTERNAÇÕES) POR COMPLEXIDADE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object w:dxaOrig="12801" w:dyaOrig="9729">
          <v:shapetype id="_x0000_tole_rId18" coordsize="21600,21600" o:spt="ole_rId18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18" type="_x0000_tole_rId18" style="position:absolute;margin-left:37.3pt;margin-top:13.1pt;width:433.25pt;height:562.6pt;mso-wrap-distance-right:0pt;mso-position-horizontal-relative:text;mso-position-vertical-relative:text" filled="f" o:ole="">
            <v:imagedata r:id="rId19" o:title=""/>
            <w10:wrap type="square"/>
          </v:shape>
          <o:OLEObject Type="Embed" ProgID="Excel.Sheet.12" ShapeID="ole_rId18" DrawAspect="Content" ObjectID="_440858002" r:id="rId18"/>
        </w:object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6.5 PRODUÇÃO AMBULATORIAL – ATENÇÃO BÁSICA – E-SUS – ESF</w:t>
      </w:r>
    </w:p>
    <w:tbl>
      <w:tblPr>
        <w:tblW w:w="7250" w:type="dxa"/>
        <w:jc w:val="center"/>
        <w:tblInd w:w="0" w:type="dxa"/>
        <w:tblLayout w:type="fixed"/>
        <w:tblCellMar>
          <w:top w:w="0" w:type="dxa"/>
          <w:left w:w="2" w:type="dxa"/>
          <w:bottom w:w="0" w:type="dxa"/>
          <w:right w:w="2" w:type="dxa"/>
        </w:tblCellMar>
      </w:tblPr>
      <w:tblGrid>
        <w:gridCol w:w="4273"/>
        <w:gridCol w:w="2976"/>
      </w:tblGrid>
      <w:tr>
        <w:trPr>
          <w:trHeight w:val="1050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CC5E7" w:val="clear"/>
          </w:tcPr>
          <w:p>
            <w:pPr>
              <w:pStyle w:val="TableParagraph"/>
              <w:widowControl w:val="false"/>
              <w:spacing w:before="17" w:after="0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2"/>
                <w:sz w:val="24"/>
                <w:szCs w:val="24"/>
              </w:rPr>
              <w:t>Relatório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de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2"/>
                <w:sz w:val="24"/>
                <w:szCs w:val="24"/>
              </w:rPr>
              <w:t>atendimentos</w:t>
            </w:r>
          </w:p>
          <w:p>
            <w:pPr>
              <w:pStyle w:val="TableParagraph"/>
              <w:widowControl w:val="false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3"/>
                <w:sz w:val="24"/>
                <w:szCs w:val="24"/>
              </w:rPr>
              <w:t>Atenção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Básica</w:t>
            </w:r>
          </w:p>
          <w:p>
            <w:pPr>
              <w:pStyle w:val="TableParagraph"/>
              <w:widowControl w:val="false"/>
              <w:ind w:left="161" w:right="0" w:hanging="0"/>
              <w:jc w:val="center"/>
              <w:rPr>
                <w:color w:val="auto"/>
              </w:rPr>
            </w:pP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>3</w:t>
            </w: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t>º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Quadrimestre</w:t>
            </w:r>
            <w:r>
              <w:rPr>
                <w:rFonts w:cs="Calibri"/>
                <w:b/>
                <w:bCs/>
                <w:color w:val="auto"/>
                <w:spacing w:val="-5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pacing w:val="-1"/>
                <w:sz w:val="24"/>
                <w:szCs w:val="24"/>
              </w:rPr>
              <w:t>de</w:t>
            </w:r>
            <w:r>
              <w:rPr>
                <w:rFonts w:cs="Calibri"/>
                <w:b/>
                <w:bCs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color w:val="auto"/>
                <w:sz w:val="24"/>
                <w:szCs w:val="24"/>
              </w:rPr>
              <w:t>2023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0" w:right="1" w:hanging="0"/>
              <w:jc w:val="center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Médico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7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6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Básica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Consulta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na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Unidade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e no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domicílio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67977</w:t>
            </w:r>
          </w:p>
        </w:tc>
      </w:tr>
      <w:tr>
        <w:trPr>
          <w:trHeight w:val="255" w:hRule="exact"/>
        </w:trPr>
        <w:tc>
          <w:tcPr>
            <w:tcW w:w="72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3" w:before="17" w:after="0"/>
              <w:ind w:left="215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Enfermeiro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da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Básica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Consulta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na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Unidade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e no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domicílio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28368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137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Visita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domiciliar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Agente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Comunitário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Saúde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Visita</w:t>
            </w:r>
            <w:r>
              <w:rPr>
                <w:rFonts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realizada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pacing w:val="-3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3"/>
                <w:w w:val="95"/>
                <w:sz w:val="20"/>
              </w:rPr>
              <w:t>212133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ind w:left="2305" w:right="0" w:hanging="0"/>
              <w:rPr>
                <w:color w:val="auto"/>
              </w:rPr>
            </w:pP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Relatório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z w:val="20"/>
              </w:rPr>
              <w:t>de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Comic Sans MS;Comic Sans MS" w:ascii="Comic Sans MS;Comic Sans MS" w:hAnsi="Comic Sans MS;Comic Sans MS"/>
                <w:b/>
                <w:color w:val="auto"/>
                <w:spacing w:val="-1"/>
                <w:sz w:val="20"/>
              </w:rPr>
              <w:t>procedimentos</w:t>
            </w:r>
          </w:p>
        </w:tc>
      </w:tr>
      <w:tr>
        <w:trPr>
          <w:trHeight w:val="257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Aferição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9"/>
                <w:sz w:val="20"/>
              </w:rPr>
              <w:t>PA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52957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Aferição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 temperatura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4586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Coleta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material para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exame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laboratorial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14632</w:t>
            </w:r>
          </w:p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32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Curativo simples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1481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Glicemia</w:t>
            </w:r>
            <w:r>
              <w:rPr>
                <w:rFonts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capilar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6652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Medição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altura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688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Medição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peso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6017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Cateterismo vesical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alívio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54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Coleta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citopatológico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colo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uterino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2187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Cuidado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estomas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pacing w:val="-8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8"/>
                <w:w w:val="95"/>
                <w:sz w:val="20"/>
              </w:rPr>
              <w:t>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Curativo especial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1105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Drenagem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de abscesso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3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 xml:space="preserve">Exame 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do pé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diabético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Retirada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 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cerume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231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Retirada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de ponto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795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Adm</w:t>
            </w:r>
            <w:r>
              <w:rPr>
                <w:rFonts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 xml:space="preserve">de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medicamentos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endovenosa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716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pacing w:val="-1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Inalação/nebulização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42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Intramuscular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4463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Oral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180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Penicilina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tratamento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2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sífilis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72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>Subcutânea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520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cs="Liberation Sans;Liberation Sans"/>
                <w:color w:val="auto"/>
                <w:spacing w:val="-1"/>
                <w:sz w:val="20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Tópica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7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27</w:t>
            </w:r>
          </w:p>
        </w:tc>
      </w:tr>
      <w:tr>
        <w:trPr>
          <w:trHeight w:val="254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6"/>
                <w:sz w:val="20"/>
              </w:rPr>
              <w:t>T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5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6"/>
                <w:sz w:val="20"/>
              </w:rPr>
              <w:t>st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5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rápido</w:t>
            </w:r>
            <w:r>
              <w:rPr>
                <w:rFonts w:cs="Liberation Sans;Liberation Sans" w:ascii="Liberation Sans;Liberation Sans" w:hAnsi="Liberation Sans;Liberation Sans"/>
                <w:color w:val="auto"/>
                <w:sz w:val="20"/>
              </w:rPr>
              <w:t xml:space="preserve"> de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1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gravidez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sz w:val="20"/>
              </w:rPr>
              <w:t>367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Para</w:t>
            </w:r>
            <w:r>
              <w:rPr>
                <w:rFonts w:ascii="Liberation Sans;Liberation Sans" w:hAnsi="Liberation Sans;Liberation Sans"/>
                <w:color w:val="auto"/>
                <w:spacing w:val="-3"/>
                <w:sz w:val="20"/>
              </w:rPr>
              <w:t xml:space="preserve"> </w:t>
            </w: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>HIV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824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ascii="Liberation Sans;Liberation Sans" w:hAnsi="Liberation Sans;Liberation Sans"/>
                <w:color w:val="auto"/>
                <w:spacing w:val="-1"/>
                <w:sz w:val="20"/>
              </w:rPr>
              <w:t xml:space="preserve">Para hepatite </w:t>
            </w:r>
            <w:r>
              <w:rPr>
                <w:rFonts w:ascii="Liberation Sans;Liberation Sans" w:hAnsi="Liberation Sans;Liberation Sans"/>
                <w:color w:val="auto"/>
                <w:sz w:val="20"/>
              </w:rPr>
              <w:t>C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1242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Para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color w:val="auto"/>
                <w:spacing w:val="-1"/>
                <w:sz w:val="20"/>
              </w:rPr>
              <w:t>Sífilis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845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Acupuntura com inserção de agulhas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61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Cirugia de unha (cantoplastia)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Sutura simples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3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Tamponamento de epistaxe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Triagem Oftalmológica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Para Hepatite B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Teste do pezinho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161</w:t>
            </w:r>
          </w:p>
        </w:tc>
      </w:tr>
      <w:tr>
        <w:trPr>
          <w:trHeight w:val="25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 w:eastAsia="Arial"/>
                <w:color w:val="auto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kern w:val="2"/>
                <w:sz w:val="20"/>
                <w:szCs w:val="24"/>
                <w:lang w:val="pt-PT" w:eastAsia="zh-CN" w:bidi="pt-PT"/>
              </w:rPr>
              <w:t>Remoção corpo estranho auditiva e nasal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19" w:hanging="0"/>
              <w:jc w:val="right"/>
              <w:rPr>
                <w:rFonts w:ascii="Liberation Sans;Liberation Sans" w:hAnsi="Liberation Sans;Liberation Sans" w:eastAsia="Arial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</w:pPr>
            <w:r>
              <w:rPr>
                <w:rFonts w:eastAsia="Arial" w:ascii="Liberation Sans;Liberation Sans" w:hAnsi="Liberation Sans;Liberation Sans"/>
                <w:color w:val="auto"/>
                <w:w w:val="95"/>
                <w:kern w:val="2"/>
                <w:sz w:val="20"/>
                <w:szCs w:val="24"/>
                <w:lang w:val="pt-PT" w:eastAsia="zh-CN" w:bidi="pt-PT"/>
              </w:rPr>
              <w:t>0</w:t>
            </w:r>
          </w:p>
        </w:tc>
      </w:tr>
      <w:tr>
        <w:trPr>
          <w:trHeight w:val="256" w:hRule="exact"/>
        </w:trPr>
        <w:tc>
          <w:tcPr>
            <w:tcW w:w="724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DA6D8" w:val="clear"/>
          </w:tcPr>
          <w:p>
            <w:pPr>
              <w:pStyle w:val="TableParagraph"/>
              <w:widowControl w:val="false"/>
              <w:spacing w:lineRule="exact" w:line="254" w:before="17" w:after="0"/>
              <w:jc w:val="center"/>
              <w:rPr>
                <w:rFonts w:ascii="Comic Sans MS;Comic Sans MS" w:hAnsi="Comic Sans MS;Comic Sans MS"/>
                <w:b/>
                <w:b/>
                <w:color w:val="auto"/>
                <w:spacing w:val="-1"/>
                <w:sz w:val="20"/>
              </w:rPr>
            </w:pPr>
            <w:r>
              <w:rPr>
                <w:rFonts w:ascii="Comic Sans MS;Comic Sans MS" w:hAnsi="Comic Sans MS;Comic Sans MS"/>
                <w:b/>
                <w:color w:val="auto"/>
                <w:spacing w:val="-1"/>
                <w:sz w:val="20"/>
              </w:rPr>
              <w:t>Consolidado</w:t>
            </w:r>
          </w:p>
        </w:tc>
      </w:tr>
      <w:tr>
        <w:trPr>
          <w:trHeight w:val="505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24" w:before="38" w:after="0"/>
              <w:ind w:left="19" w:right="369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Atendimento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Atenção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Básica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(consulta</w:t>
            </w:r>
            <w:r>
              <w:rPr>
                <w:rFonts w:cs="Times New Roman" w:ascii="Times New Roman" w:hAnsi="Times New Roman"/>
                <w:b/>
                <w:color w:val="auto"/>
                <w:spacing w:val="35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médica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profissional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nível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superior)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napToGrid w:val="false"/>
              <w:spacing w:before="1" w:after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96345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rFonts w:ascii="Liberation Sans;Liberation Sans" w:hAnsi="Liberation Sans;Liberation Sans"/>
                <w:b/>
                <w:b/>
                <w:color w:val="auto"/>
                <w:spacing w:val="-1"/>
                <w:sz w:val="20"/>
              </w:rPr>
            </w:pPr>
            <w:r>
              <w:rPr>
                <w:rFonts w:ascii="Liberation Sans;Liberation Sans" w:hAnsi="Liberation Sans;Liberation Sans"/>
                <w:b/>
                <w:color w:val="auto"/>
                <w:spacing w:val="-1"/>
                <w:sz w:val="20"/>
              </w:rPr>
              <w:t>Procedimentos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91458</w:t>
            </w:r>
          </w:p>
        </w:tc>
      </w:tr>
      <w:tr>
        <w:trPr>
          <w:trHeight w:val="256" w:hRule="exact"/>
        </w:trPr>
        <w:tc>
          <w:tcPr>
            <w:tcW w:w="427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9" w:right="0" w:hanging="0"/>
              <w:rPr>
                <w:color w:val="auto"/>
              </w:rPr>
            </w:pP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Testes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z w:val="20"/>
              </w:rPr>
              <w:t>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administração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4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de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3"/>
                <w:sz w:val="20"/>
              </w:rPr>
              <w:t xml:space="preserve"> </w:t>
            </w:r>
            <w:r>
              <w:rPr>
                <w:rFonts w:cs="Liberation Sans;Liberation Sans" w:ascii="Liberation Sans;Liberation Sans" w:hAnsi="Liberation Sans;Liberation Sans"/>
                <w:b/>
                <w:color w:val="auto"/>
                <w:spacing w:val="-1"/>
                <w:sz w:val="20"/>
              </w:rPr>
              <w:t>medicamentos</w:t>
            </w:r>
          </w:p>
        </w:tc>
        <w:tc>
          <w:tcPr>
            <w:tcW w:w="2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  <w:t>9459</w:t>
            </w:r>
          </w:p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r>
          </w:p>
          <w:p>
            <w:pPr>
              <w:pStyle w:val="TableParagraph"/>
              <w:widowControl w:val="false"/>
              <w:spacing w:before="5" w:after="0"/>
              <w:ind w:left="0" w:right="18" w:hanging="0"/>
              <w:jc w:val="right"/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pPr>
            <w:r>
              <w:rPr>
                <w:rFonts w:ascii="Liberation Sans;Liberation Sans" w:hAnsi="Liberation Sans;Liberation Sans"/>
                <w:color w:val="auto"/>
                <w:w w:val="95"/>
                <w:sz w:val="20"/>
              </w:rPr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b/>
          <w:b/>
          <w:bCs/>
          <w:color w:val="auto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6.6.  SAÚDE BUCAL ATENÇÃO BÁSICA – E-SUS – ESF – 3º QUADRIMESTRE DE 2023</w:t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left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508635</wp:posOffset>
            </wp:positionH>
            <wp:positionV relativeFrom="paragraph">
              <wp:posOffset>127000</wp:posOffset>
            </wp:positionV>
            <wp:extent cx="5168900" cy="7085330"/>
            <wp:effectExtent l="0" t="0" r="0" b="0"/>
            <wp:wrapSquare wrapText="largest"/>
            <wp:docPr id="3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708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center"/>
        <w:rPr>
          <w:rFonts w:ascii="Calibri" w:hAnsi="Calibri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Calibri" w:hAnsi="Calibri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6.7 – ASSISTÊNCIA FARMACÊUTICA – PRODUÇÃO 2º QUADRIMESTRE – 2023</w:t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tbl>
      <w:tblPr>
        <w:tblW w:w="901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002"/>
        <w:gridCol w:w="1581"/>
        <w:gridCol w:w="1791"/>
        <w:gridCol w:w="1850"/>
      </w:tblGrid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44"/>
                <w:szCs w:val="4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44"/>
                <w:szCs w:val="44"/>
                <w:lang w:val="pt-BR" w:eastAsia="en-US" w:bidi="ar-SA"/>
              </w:rPr>
              <w:t>2023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central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Leste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oeste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Farmácia Zona sul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Janeiro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12648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2641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1697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4605</w:t>
            </w:r>
          </w:p>
        </w:tc>
      </w:tr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Fevereiro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12385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2344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1763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4635</w:t>
            </w:r>
          </w:p>
        </w:tc>
      </w:tr>
      <w:tr>
        <w:trPr>
          <w:trHeight w:val="294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Março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15275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3289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2295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6411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kern w:val="0"/>
                <w:sz w:val="24"/>
                <w:szCs w:val="24"/>
                <w:lang w:val="pt-BR" w:eastAsia="en-US" w:bidi="ar-SA"/>
              </w:rPr>
              <w:t>Abril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12457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2948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1832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5350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TOTAL 1°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pt-BR" w:eastAsia="en-US" w:bidi="ar-SA"/>
              </w:rPr>
              <w:t>QUAD.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52.765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11.222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7.587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21.001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Maio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20.086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3.683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2.384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7113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Junho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17.615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4.180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ascii="Calibri" w:hAnsi="Calibri"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6258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Julho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17.091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3.599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2.111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5465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lang w:val="pt-BR" w:eastAsia="en-US" w:bidi="ar-SA"/>
              </w:rPr>
              <w:t>Agosto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22.745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val="pt-BR" w:eastAsia="en-US" w:bidi="ar-SA"/>
              </w:rPr>
              <w:t>3.980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napToGrid w:val="fals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2.366</w:t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 w:val="false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 w:val="false"/>
                <w:bCs w:val="false"/>
                <w:kern w:val="0"/>
                <w:sz w:val="22"/>
                <w:szCs w:val="22"/>
                <w:lang w:val="pt-BR" w:eastAsia="en-US" w:bidi="ar-SA"/>
              </w:rPr>
              <w:t>6534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/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 xml:space="preserve">TOTAL 2° </w:t>
            </w:r>
            <w:r>
              <w:rPr>
                <w:rFonts w:eastAsia="Calibri" w:cs="Calibri"/>
                <w:b/>
                <w:bCs/>
                <w:kern w:val="0"/>
                <w:sz w:val="20"/>
                <w:szCs w:val="20"/>
                <w:lang w:val="pt-BR" w:eastAsia="en-US" w:bidi="ar-SA"/>
              </w:rPr>
              <w:t>QUAD.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60.554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15.442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6861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25.370</w:t>
            </w:r>
          </w:p>
        </w:tc>
      </w:tr>
      <w:tr>
        <w:trPr>
          <w:trHeight w:val="307" w:hRule="atLeast"/>
        </w:trPr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/>
                <w:b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Calibri"/>
                <w:b/>
                <w:bCs/>
                <w:kern w:val="0"/>
                <w:sz w:val="24"/>
                <w:szCs w:val="24"/>
                <w:lang w:val="pt-BR" w:eastAsia="en-US" w:bidi="ar-SA"/>
              </w:rPr>
              <w:t>TOTAL GERAL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113.319</w:t>
            </w: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26.664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ascii="Calibri" w:hAnsi="Calibri"/>
                <w:b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  <w:tc>
          <w:tcPr>
            <w:tcW w:w="1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pt-BR" w:eastAsia="en-US" w:bidi="ar-SA"/>
              </w:rPr>
              <w:t>46.371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FFFFFF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FFFFFF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Bookman Old Style" w:cs="Calibri"/>
          <w:b/>
          <w:b/>
          <w:bCs/>
          <w:i w:val="false"/>
          <w:i w:val="false"/>
          <w:iCs w:val="false"/>
          <w:color w:val="auto"/>
          <w:sz w:val="24"/>
          <w:szCs w:val="24"/>
          <w:u w:val="none"/>
          <w:shd w:fill="auto" w:val="clear"/>
        </w:rPr>
      </w:pPr>
      <w:r>
        <w:rPr>
          <w:rFonts w:eastAsia="Bookman Old Style" w:cs="Calibri" w:ascii="Arial" w:hAnsi="Arial"/>
          <w:b/>
          <w:bCs/>
          <w:i w:val="false"/>
          <w:iCs w:val="false"/>
          <w:color w:val="000000"/>
          <w:sz w:val="24"/>
          <w:szCs w:val="24"/>
          <w:u w:val="none"/>
          <w:shd w:fill="auto" w:val="clear"/>
        </w:rPr>
        <w:t>7. DEMONSTRATIVO DO MONTANTE E FONTE DE RECURSOS APLICADOS NO PERÍODO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</w:rPr>
        <w:tab/>
        <w:t xml:space="preserve">Os dados sobre o montante e fonte dos recursos aplicados na área da saúde foram obtidos através do FNS – Fundo Nacional de Saúde, SIOPS - Sistema de Informações sobre Orçamento Público em Saúde e SONNER Sistemas.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 xml:space="preserve">O orçamento destinado ao setor saúde, para o exercício de 2023, foi definido pela Lei Ordinária nº 9.548/2022,  que “estabelece proposta orçamentária, estimando a receita e fixando a despesa do Município de Poços de Caldas para o exercício de 2023”, correspondendo, inicialmente, ao valor de R$ 385.286.227,00 ( Trezentos e oitenta e cinco milhões e duzentos e oitenta e seis mil e duzentos e vinte e sete reais). 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  <w:tab/>
        <w:t xml:space="preserve">A receita quadrimestral decorrente da transferência de recursos de outras esferas de governo para a saúde totalizou R$ 77.306.910,85. Destes, R$ 48.374.894,49 foram oriundos do Governo Federal, R$ 27.742.016,36 do Governo Estadual e R$ 1.190.000,00 de Emendas Parlamentares. </w:t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Calibri" w:cs="Calibri" w:ascii="Arial" w:hAnsi="Arial"/>
          <w:color w:val="000000"/>
          <w:sz w:val="24"/>
          <w:szCs w:val="24"/>
          <w:shd w:fill="auto" w:val="clear"/>
        </w:rPr>
        <w:t xml:space="preserve">       </w:t>
      </w:r>
      <w:r>
        <w:rPr>
          <w:rFonts w:cs="Calibri" w:ascii="Arial" w:hAnsi="Arial"/>
          <w:color w:val="000000"/>
          <w:sz w:val="24"/>
          <w:szCs w:val="24"/>
          <w:shd w:fill="auto" w:val="clear"/>
        </w:rPr>
        <w:t>O investimento de recursos próprios em saúde no 3º Quadrimestre de 2023 foi de R$ 60.428.276,11 do total de impostos, transferências e outras receitas municipais.</w:t>
      </w:r>
    </w:p>
    <w:p>
      <w:pPr>
        <w:pStyle w:val="Normal"/>
        <w:spacing w:lineRule="auto" w:line="360" w:before="0" w:after="0"/>
        <w:jc w:val="both"/>
        <w:rPr>
          <w:rFonts w:ascii="Arial" w:hAnsi="Arial" w:cs="Calibri"/>
          <w:color w:val="auto"/>
          <w:sz w:val="24"/>
          <w:szCs w:val="24"/>
          <w:shd w:fill="auto" w:val="clear"/>
        </w:rPr>
      </w:pPr>
      <w:r>
        <w:rPr>
          <w:rFonts w:cs="Calibri" w:ascii="Arial" w:hAnsi="Arial"/>
          <w:color w:val="000000"/>
          <w:sz w:val="24"/>
          <w:szCs w:val="24"/>
          <w:shd w:fill="auto" w:val="clear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cs="Calibri" w:ascii="Arial" w:hAnsi="Arial"/>
          <w:i/>
          <w:iCs/>
          <w:color w:val="000000"/>
          <w:sz w:val="24"/>
          <w:szCs w:val="24"/>
          <w:shd w:fill="auto" w:val="clear"/>
        </w:rPr>
        <w:t xml:space="preserve">O quadro apresenta os recursos financeiros, transferidos fundo a fundo pela </w:t>
      </w:r>
      <w:r>
        <w:rPr>
          <w:rFonts w:cs="Calibri" w:ascii="Arial" w:hAnsi="Arial"/>
          <w:b/>
          <w:i/>
          <w:iCs/>
          <w:color w:val="000000"/>
          <w:sz w:val="24"/>
          <w:szCs w:val="24"/>
          <w:shd w:fill="auto" w:val="clear"/>
        </w:rPr>
        <w:t>União e Estado</w:t>
      </w:r>
      <w:r>
        <w:rPr>
          <w:rFonts w:cs="Calibri" w:ascii="Arial" w:hAnsi="Arial"/>
          <w:i/>
          <w:iCs/>
          <w:color w:val="000000"/>
          <w:sz w:val="24"/>
          <w:szCs w:val="24"/>
          <w:shd w:fill="auto" w:val="clear"/>
        </w:rPr>
        <w:t>, discriminados por ações de custeio/investimento de financiamento do SUS.</w:t>
      </w:r>
    </w:p>
    <w:p>
      <w:pPr>
        <w:pStyle w:val="Normal"/>
        <w:spacing w:lineRule="atLeast" w:line="100" w:before="0" w:after="0"/>
        <w:jc w:val="both"/>
        <w:rPr>
          <w:color w:val="auto"/>
        </w:rPr>
      </w:pPr>
      <w:r>
        <w:rPr>
          <w:rFonts w:cs="Calibri" w:ascii="Calibri" w:hAnsi="Calibri"/>
          <w:color w:val="000000"/>
          <w:sz w:val="20"/>
          <w:szCs w:val="20"/>
          <w:shd w:fill="auto" w:val="clear"/>
        </w:rPr>
        <w:t xml:space="preserve">Quadro Recursos financeiros transferidos fundo a fundo pela União e Estado no Terceiro Quadrimestre/2023 -  </w:t>
      </w:r>
      <w:r>
        <w:rPr>
          <w:rFonts w:cs="Calibri" w:ascii="Calibri" w:hAnsi="Calibri"/>
          <w:color w:val="000000"/>
          <w:sz w:val="20"/>
          <w:szCs w:val="20"/>
          <w:shd w:fill="FFFFFF" w:val="clear"/>
        </w:rPr>
        <w:t xml:space="preserve">Portaria N.3.992/GM/2017. </w:t>
      </w:r>
    </w:p>
    <w:tbl>
      <w:tblPr>
        <w:tblW w:w="9649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2"/>
        <w:gridCol w:w="5286"/>
      </w:tblGrid>
      <w:tr>
        <w:trPr/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>AÇÕES DE CUSTEIO / INVESTIMENTO</w:t>
            </w:r>
          </w:p>
        </w:tc>
        <w:tc>
          <w:tcPr>
            <w:tcW w:w="5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>VALOR TRANSFERIDO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ATENÇÃO BÁSICA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 xml:space="preserve">R$ </w:t>
            </w:r>
            <w:r>
              <w:rPr>
                <w:rFonts w:cs="Calibri" w:ascii="Calibri" w:hAnsi="Calibri"/>
                <w:color w:val="000000"/>
                <w:spacing w:val="0"/>
                <w:shd w:fill="auto" w:val="clear"/>
              </w:rPr>
              <w:t>7.142.624,24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MAC (MÉDIA E ALTA COMPLEXIDADE)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R$ 31.411.248,87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ASSISTÊNCIA FARMACÊUTICA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R$329.214,08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VIGILÂNCIA EM SAÚDE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R$ 1.222.368,75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GESTÃO DO SUS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R$ 8.269.438,55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INVESTIMENTO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R$ 0</w:t>
            </w:r>
            <w:r>
              <w:rPr>
                <w:rFonts w:cs="Calibri" w:ascii="Calibri" w:hAnsi="Calibri"/>
                <w:color w:val="000000"/>
                <w:shd w:fill="auto" w:val="clear"/>
              </w:rPr>
              <w:t>,</w:t>
            </w:r>
            <w:r>
              <w:rPr>
                <w:rFonts w:cs="Calibri" w:ascii="Calibri" w:hAnsi="Calibri"/>
                <w:color w:val="000000"/>
                <w:shd w:fill="auto" w:val="clear"/>
              </w:rPr>
              <w:t>00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TRANSF. ESTADUAIS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R$ 27.742.016,36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both"/>
              <w:rPr>
                <w:rFonts w:ascii="Calibri" w:hAnsi="Calibri" w:cs="Calibri"/>
                <w:color w:val="auto"/>
                <w:shd w:fill="auto" w:val="clear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Emenda Parlamentar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/>
              </w:rPr>
            </w:pPr>
            <w:r>
              <w:rPr>
                <w:rFonts w:cs="Calibri" w:ascii="Calibri" w:hAnsi="Calibri"/>
                <w:color w:val="000000"/>
                <w:shd w:fill="auto" w:val="clear"/>
              </w:rPr>
              <w:t>R$ 1.190.000,00</w:t>
            </w:r>
          </w:p>
        </w:tc>
      </w:tr>
      <w:tr>
        <w:trPr/>
        <w:tc>
          <w:tcPr>
            <w:tcW w:w="4362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dodatabela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 xml:space="preserve"> </w:t>
            </w: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>TOTAL</w:t>
            </w:r>
          </w:p>
        </w:tc>
        <w:tc>
          <w:tcPr>
            <w:tcW w:w="5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Normal"/>
              <w:widowControl w:val="false"/>
              <w:spacing w:lineRule="auto" w:line="360" w:before="0" w:after="0"/>
              <w:jc w:val="center"/>
              <w:rPr>
                <w:rFonts w:ascii="Calibri" w:hAnsi="Calibri" w:cs="Calibri"/>
                <w:b/>
                <w:b/>
                <w:bCs/>
                <w:color w:val="auto"/>
                <w:shd w:fill="auto" w:val="clear"/>
              </w:rPr>
            </w:pPr>
            <w:r>
              <w:rPr>
                <w:rFonts w:cs="Calibri" w:ascii="Calibri" w:hAnsi="Calibri"/>
                <w:b/>
                <w:bCs/>
                <w:color w:val="000000"/>
                <w:shd w:fill="auto" w:val="clear"/>
              </w:rPr>
              <w:t xml:space="preserve">R$        </w:t>
            </w:r>
            <w:r>
              <w:rPr>
                <w:rFonts w:cs="Calibri" w:ascii="Arial" w:hAnsi="Arial"/>
                <w:b/>
                <w:bCs/>
                <w:color w:val="000000"/>
                <w:spacing w:val="0"/>
                <w:shd w:fill="auto" w:val="clear"/>
              </w:rPr>
              <w:t>49.564.894,49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Calibri" w:hAnsi="Calibri" w:eastAsia="Calibri" w:cs="Calibri"/>
          <w:color w:val="auto"/>
          <w:shd w:fill="auto" w:val="clear"/>
        </w:rPr>
      </w:pPr>
      <w:r>
        <w:rPr>
          <w:rFonts w:eastAsia="Calibri" w:cs="Calibri" w:ascii="Calibri" w:hAnsi="Calibri"/>
          <w:color w:val="000000"/>
          <w:shd w:fill="auto" w:val="clear"/>
        </w:rPr>
        <w:t xml:space="preserve"> </w:t>
      </w:r>
    </w:p>
    <w:p>
      <w:pPr>
        <w:pStyle w:val="Normal"/>
        <w:spacing w:lineRule="auto" w:line="360" w:before="0" w:after="0"/>
        <w:jc w:val="both"/>
        <w:rPr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ab/>
        <w:t xml:space="preserve">O total de receitas em saúde no terceiro quadrimestre de 2023, foi de R$ </w:t>
      </w: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pacing w:val="0"/>
          <w:sz w:val="24"/>
          <w:szCs w:val="24"/>
          <w:u w:val="none"/>
          <w:shd w:fill="FFFFFF" w:val="clear"/>
        </w:rPr>
        <w:t>49.564.894,49</w:t>
      </w:r>
    </w:p>
    <w:p>
      <w:pPr>
        <w:pStyle w:val="Normal"/>
        <w:spacing w:lineRule="auto" w:line="360" w:before="0" w:after="0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 w:before="0" w:after="0"/>
        <w:jc w:val="both"/>
        <w:rPr>
          <w:rFonts w:ascii="Arial" w:hAnsi="Arial"/>
          <w:color w:val="auto"/>
        </w:rPr>
      </w:pPr>
      <w:r>
        <w:rPr>
          <w:rFonts w:eastAsia="Bookman Old Style" w:cs="Calibri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FFFFFF" w:val="clear"/>
        </w:rPr>
        <w:tab/>
        <w:t>Despesas liquidadas no terceiro quadrimestre foi de R$ 133.876.651,45.</w:t>
      </w:r>
    </w:p>
    <w:p>
      <w:pPr>
        <w:pStyle w:val="Normal"/>
        <w:spacing w:lineRule="auto" w:line="360" w:before="0" w:after="0"/>
        <w:jc w:val="center"/>
        <w:rPr>
          <w:vanish/>
        </w:rPr>
      </w:pPr>
      <w:r>
        <w:rPr>
          <w:vanish w:val="false"/>
        </w:rPr>
      </w:r>
      <w:bookmarkStart w:id="0" w:name="_PictureBullets"/>
      <w:bookmarkStart w:id="1" w:name="_PictureBullets"/>
      <w:bookmarkEnd w:id="1"/>
    </w:p>
    <w:sectPr>
      <w:headerReference w:type="default" r:id="rId21"/>
      <w:headerReference w:type="first" r:id="rId22"/>
      <w:footerReference w:type="default" r:id="rId23"/>
      <w:footerReference w:type="first" r:id="rId24"/>
      <w:type w:val="nextPage"/>
      <w:pgSz w:w="11906" w:h="16838"/>
      <w:pgMar w:left="840" w:right="1121" w:gutter="0" w:header="915" w:top="1290" w:footer="1135" w:bottom="1305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Wingdings 2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angal">
    <w:charset w:val="00"/>
    <w:family w:val="roman"/>
    <w:pitch w:val="variable"/>
  </w:font>
  <w:font w:name="Tahoma">
    <w:charset w:val="00"/>
    <w:family w:val="roman"/>
    <w:pitch w:val="variable"/>
  </w:font>
  <w:font w:name="Lucida Sans Unicode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Lucida Sans">
    <w:charset w:val="00"/>
    <w:family w:val="roman"/>
    <w:pitch w:val="variable"/>
  </w:font>
  <w:font w:name="Noto Sans">
    <w:charset w:val="00"/>
    <w:family w:val="roman"/>
    <w:pitch w:val="variable"/>
  </w:font>
  <w:font w:name="Arial Black">
    <w:charset w:val="00"/>
    <w:family w:val="roman"/>
    <w:pitch w:val="variable"/>
  </w:font>
  <w:font w:name="Arial">
    <w:altName w:val="Helvetica"/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Comic Sans MS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eastAsia="Calibri" w:cs="Calibri"/>
        <w:sz w:val="24"/>
        <w:szCs w:val="24"/>
      </w:rPr>
    </w:pPr>
    <w:r>
      <w:rPr>
        <w:rFonts w:eastAsia="Calibri" w:cs="Calibri" w:ascii="Calibri" w:hAnsi="Calibri"/>
        <w:sz w:val="24"/>
        <w:szCs w:val="24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>
        <w:rFonts w:ascii="Symbol" w:hAnsi="Symbol" w:cs="OpenSymbol;Arial Unicode MS"/>
      </w:r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5">
    <w:lvl w:ilvl="0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55"/>
        </w:tabs>
        <w:ind w:left="1455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35"/>
        </w:tabs>
        <w:ind w:left="2535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15"/>
        </w:tabs>
        <w:ind w:left="3615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2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3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false"/>
        <w:b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false"/>
        <w:bCs w:val="fals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false"/>
        <w:bCs w:val="fals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 w:val="false"/>
        <w:bCs w:val="fals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false"/>
        <w:bCs w:val="fals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false"/>
        <w:bCs w:val="fals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 w:val="false"/>
        <w:bCs w:val="fals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false"/>
        <w:bCs w:val="fals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false"/>
        <w:bCs w:val="false"/>
      </w:rPr>
    </w:lvl>
  </w:abstractNum>
  <w:abstractNum w:abstractNumId="4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Wingdings" w:hAnsi="Wingdings" w:cs="Wingdings"/>
      <w:sz w:val="24"/>
      <w:szCs w:val="24"/>
    </w:rPr>
  </w:style>
  <w:style w:type="character" w:styleId="WW8Num3z1">
    <w:name w:val="WW8Num3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b w:val="false"/>
      <w:bCs w:val="false"/>
    </w:rPr>
  </w:style>
  <w:style w:type="character" w:styleId="WW8Num5z1">
    <w:name w:val="WW8Num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6z0">
    <w:name w:val="WW8Num6z0"/>
    <w:qFormat/>
    <w:rPr>
      <w:rFonts w:ascii="Wingdings" w:hAnsi="Wingdings" w:cs="Wingdings"/>
      <w:sz w:val="24"/>
      <w:szCs w:val="24"/>
    </w:rPr>
  </w:style>
  <w:style w:type="character" w:styleId="WW8Num6z1">
    <w:name w:val="WW8Num6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7z0">
    <w:name w:val="WW8Num7z0"/>
    <w:qFormat/>
    <w:rPr>
      <w:rFonts w:cs="Bookman Old Style"/>
    </w:rPr>
  </w:style>
  <w:style w:type="character" w:styleId="WW8Num7z1">
    <w:name w:val="WW8Num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9z0">
    <w:name w:val="WW8Num9z0"/>
    <w:qFormat/>
    <w:rPr>
      <w:rFonts w:ascii="Symbol" w:hAnsi="Symbol" w:cs="OpenSymbol;Arial Unicode MS"/>
      <w:b w:val="false"/>
      <w:bCs w:val="false"/>
    </w:rPr>
  </w:style>
  <w:style w:type="character" w:styleId="WW8Num9z1">
    <w:name w:val="WW8Num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OpenSymbol;Arial Unicode MS"/>
      <w:b w:val="false"/>
      <w:bCs w:val="false"/>
    </w:rPr>
  </w:style>
  <w:style w:type="character" w:styleId="WW8Num11z1">
    <w:name w:val="WW8Num11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2z0">
    <w:name w:val="WW8Num12z0"/>
    <w:qFormat/>
    <w:rPr>
      <w:rFonts w:ascii="Symbol" w:hAnsi="Symbol" w:cs="OpenSymbol;Arial Unicode MS"/>
      <w:b w:val="false"/>
      <w:bCs w:val="false"/>
    </w:rPr>
  </w:style>
  <w:style w:type="character" w:styleId="WW8Num12z1">
    <w:name w:val="WW8Num12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OpenSymbol;Arial Unicode MS" w:hAnsi="OpenSymbol;Arial Unicode MS" w:cs="OpenSymbol;Arial Unicode MS"/>
    </w:rPr>
  </w:style>
  <w:style w:type="character" w:styleId="WW8Num14z0">
    <w:name w:val="WW8Num14z0"/>
    <w:qFormat/>
    <w:rPr>
      <w:rFonts w:ascii="Symbol" w:hAnsi="Symbol" w:cs="OpenSymbol;Arial Unicode MS"/>
      <w:b w:val="false"/>
      <w:bCs w:val="false"/>
    </w:rPr>
  </w:style>
  <w:style w:type="character" w:styleId="WW8Num14z1">
    <w:name w:val="WW8Num14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5z0">
    <w:name w:val="WW8Num15z0"/>
    <w:qFormat/>
    <w:rPr>
      <w:rFonts w:ascii="Symbol" w:hAnsi="Symbol" w:cs="OpenSymbol;Arial Unicode MS"/>
      <w:b w:val="false"/>
      <w:bCs w:val="false"/>
    </w:rPr>
  </w:style>
  <w:style w:type="character" w:styleId="WW8Num15z1">
    <w:name w:val="WW8Num1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OpenSymbol;Arial Unicode MS" w:hAnsi="OpenSymbol;Arial Unicode MS" w:cs="OpenSymbol;Arial Unicode MS"/>
    </w:rPr>
  </w:style>
  <w:style w:type="character" w:styleId="WW8Num17z0">
    <w:name w:val="WW8Num17z0"/>
    <w:qFormat/>
    <w:rPr>
      <w:rFonts w:ascii="Symbol" w:hAnsi="Symbol" w:cs="OpenSymbol;Arial Unicode MS"/>
      <w:b w:val="false"/>
      <w:bCs w:val="false"/>
    </w:rPr>
  </w:style>
  <w:style w:type="character" w:styleId="WW8Num17z1">
    <w:name w:val="WW8Num1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8z0">
    <w:name w:val="WW8Num18z0"/>
    <w:qFormat/>
    <w:rPr>
      <w:rFonts w:ascii="Symbol" w:hAnsi="Symbol" w:cs="OpenSymbol;Arial Unicode MS"/>
      <w:b w:val="false"/>
      <w:bCs w:val="false"/>
    </w:rPr>
  </w:style>
  <w:style w:type="character" w:styleId="WW8Num18z1">
    <w:name w:val="WW8Num1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19z0">
    <w:name w:val="WW8Num19z0"/>
    <w:qFormat/>
    <w:rPr>
      <w:rFonts w:ascii="Symbol" w:hAnsi="Symbol" w:cs="OpenSymbol;Arial Unicode MS"/>
      <w:b w:val="false"/>
      <w:bCs w:val="false"/>
    </w:rPr>
  </w:style>
  <w:style w:type="character" w:styleId="WW8Num19z1">
    <w:name w:val="WW8Num1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OpenSymbol;Arial Unicode MS"/>
      <w:b w:val="false"/>
      <w:bCs w:val="false"/>
    </w:rPr>
  </w:style>
  <w:style w:type="character" w:styleId="WW8Num21z1">
    <w:name w:val="WW8Num21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2z0">
    <w:name w:val="WW8Num22z0"/>
    <w:qFormat/>
    <w:rPr>
      <w:rFonts w:ascii="Symbol" w:hAnsi="Symbol" w:cs="OpenSymbol;Arial Unicode MS"/>
      <w:b w:val="false"/>
      <w:bCs w:val="false"/>
    </w:rPr>
  </w:style>
  <w:style w:type="character" w:styleId="WW8Num22z1">
    <w:name w:val="WW8Num22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3z0">
    <w:name w:val="WW8Num23z0"/>
    <w:qFormat/>
    <w:rPr>
      <w:rFonts w:ascii="Symbol" w:hAnsi="Symbol" w:cs="OpenSymbol;Arial Unicode MS"/>
      <w:b w:val="false"/>
      <w:bCs w:val="false"/>
    </w:rPr>
  </w:style>
  <w:style w:type="character" w:styleId="WW8Num23z1">
    <w:name w:val="WW8Num23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4z0">
    <w:name w:val="WW8Num24z0"/>
    <w:qFormat/>
    <w:rPr>
      <w:rFonts w:ascii="Symbol" w:hAnsi="Symbol" w:cs="OpenSymbol;Arial Unicode MS"/>
      <w:b w:val="false"/>
      <w:bCs w:val="false"/>
    </w:rPr>
  </w:style>
  <w:style w:type="character" w:styleId="WW8Num24z1">
    <w:name w:val="WW8Num24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5z0">
    <w:name w:val="WW8Num25z0"/>
    <w:qFormat/>
    <w:rPr>
      <w:rFonts w:ascii="Symbol" w:hAnsi="Symbol" w:cs="OpenSymbol;Arial Unicode MS"/>
      <w:b w:val="false"/>
      <w:bCs w:val="false"/>
    </w:rPr>
  </w:style>
  <w:style w:type="character" w:styleId="WW8Num25z1">
    <w:name w:val="WW8Num25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6z0">
    <w:name w:val="WW8Num26z0"/>
    <w:qFormat/>
    <w:rPr>
      <w:rFonts w:ascii="Symbol" w:hAnsi="Symbol" w:cs="OpenSymbol;Arial Unicode MS"/>
      <w:b w:val="false"/>
      <w:bCs w:val="false"/>
    </w:rPr>
  </w:style>
  <w:style w:type="character" w:styleId="WW8Num26z1">
    <w:name w:val="WW8Num26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7z0">
    <w:name w:val="WW8Num27z0"/>
    <w:qFormat/>
    <w:rPr>
      <w:rFonts w:ascii="Symbol" w:hAnsi="Symbol" w:cs="OpenSymbol;Arial Unicode MS"/>
      <w:b w:val="false"/>
      <w:bCs w:val="false"/>
    </w:rPr>
  </w:style>
  <w:style w:type="character" w:styleId="WW8Num27z1">
    <w:name w:val="WW8Num27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8z0">
    <w:name w:val="WW8Num28z0"/>
    <w:qFormat/>
    <w:rPr>
      <w:rFonts w:ascii="Symbol" w:hAnsi="Symbol" w:cs="OpenSymbol;Arial Unicode MS"/>
      <w:b w:val="false"/>
      <w:bCs w:val="false"/>
    </w:rPr>
  </w:style>
  <w:style w:type="character" w:styleId="WW8Num28z1">
    <w:name w:val="WW8Num28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29z0">
    <w:name w:val="WW8Num29z0"/>
    <w:qFormat/>
    <w:rPr>
      <w:rFonts w:ascii="Symbol" w:hAnsi="Symbol" w:cs="OpenSymbol;Arial Unicode MS"/>
      <w:b w:val="false"/>
      <w:bCs w:val="false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29z1">
    <w:name w:val="WW8Num29z1"/>
    <w:qFormat/>
    <w:rPr>
      <w:rFonts w:ascii="OpenSymbol;Arial Unicode MS" w:hAnsi="OpenSymbol;Arial Unicode MS" w:cs="OpenSymbol;Arial Unicode MS"/>
      <w:b w:val="false"/>
      <w:bCs w:val="false"/>
    </w:rPr>
  </w:style>
  <w:style w:type="character" w:styleId="WW8Num30z0">
    <w:name w:val="WW8Num30z0"/>
    <w:qFormat/>
    <w:rPr>
      <w:rFonts w:ascii="Symbol" w:hAnsi="Symbol" w:cs="OpenSymbol;Arial Unicode MS"/>
      <w:b w:val="false"/>
      <w:bCs w:val="false"/>
    </w:rPr>
  </w:style>
  <w:style w:type="character" w:styleId="Marcadores">
    <w:name w:val="Marcadores"/>
    <w:qFormat/>
    <w:rPr/>
  </w:style>
  <w:style w:type="character" w:styleId="WW8Num20z3">
    <w:name w:val="WW8Num20z3"/>
    <w:qFormat/>
    <w:rPr>
      <w:rFonts w:ascii="Wingdings 2" w:hAnsi="Wingdings 2" w:cs="OpenSymbol;Arial Unicode MS"/>
    </w:rPr>
  </w:style>
  <w:style w:type="character" w:styleId="WW8Num16z3">
    <w:name w:val="WW8Num16z3"/>
    <w:qFormat/>
    <w:rPr>
      <w:rFonts w:ascii="Wingdings 2" w:hAnsi="Wingdings 2" w:cs="OpenSymbol;Arial Unicode MS"/>
    </w:rPr>
  </w:style>
  <w:style w:type="character" w:styleId="Smbolosdenumerao">
    <w:name w:val="Símbolos de numeração"/>
    <w:qFormat/>
    <w:rPr/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Nfaseforte">
    <w:name w:val="Ênfase forte"/>
    <w:qFormat/>
    <w:rPr>
      <w:b/>
      <w:bCs/>
    </w:rPr>
  </w:style>
  <w:style w:type="character" w:styleId="Fontepargpadro">
    <w:name w:val="Fonte parág. padrão"/>
    <w:qFormat/>
    <w:rPr/>
  </w:style>
  <w:style w:type="character" w:styleId="WWCharLFO1LVL1">
    <w:name w:val="WW_CharLFO1LVL1"/>
    <w:qFormat/>
    <w:rPr>
      <w:rFonts w:ascii="OpenSymbol" w:hAnsi="OpenSymbol" w:eastAsia="OpenSymbol" w:cs="OpenSymbol"/>
    </w:rPr>
  </w:style>
  <w:style w:type="character" w:styleId="WWCharLFO1LVL2">
    <w:name w:val="WW_CharLFO1LVL2"/>
    <w:qFormat/>
    <w:rPr>
      <w:rFonts w:ascii="OpenSymbol" w:hAnsi="OpenSymbol" w:eastAsia="OpenSymbol" w:cs="OpenSymbol"/>
    </w:rPr>
  </w:style>
  <w:style w:type="character" w:styleId="WWCharLFO1LVL3">
    <w:name w:val="WW_CharLFO1LVL3"/>
    <w:qFormat/>
    <w:rPr>
      <w:rFonts w:ascii="OpenSymbol" w:hAnsi="OpenSymbol" w:eastAsia="OpenSymbol" w:cs="OpenSymbol"/>
    </w:rPr>
  </w:style>
  <w:style w:type="character" w:styleId="WWCharLFO1LVL4">
    <w:name w:val="WW_CharLFO1LVL4"/>
    <w:qFormat/>
    <w:rPr>
      <w:rFonts w:ascii="OpenSymbol" w:hAnsi="OpenSymbol" w:eastAsia="OpenSymbol" w:cs="OpenSymbol"/>
    </w:rPr>
  </w:style>
  <w:style w:type="character" w:styleId="WWCharLFO1LVL5">
    <w:name w:val="WW_CharLFO1LVL5"/>
    <w:qFormat/>
    <w:rPr>
      <w:rFonts w:ascii="OpenSymbol" w:hAnsi="OpenSymbol" w:eastAsia="OpenSymbol" w:cs="OpenSymbol"/>
    </w:rPr>
  </w:style>
  <w:style w:type="character" w:styleId="WWCharLFO1LVL6">
    <w:name w:val="WW_CharLFO1LVL6"/>
    <w:qFormat/>
    <w:rPr>
      <w:rFonts w:ascii="OpenSymbol" w:hAnsi="OpenSymbol" w:eastAsia="OpenSymbol" w:cs="OpenSymbol"/>
    </w:rPr>
  </w:style>
  <w:style w:type="character" w:styleId="WWCharLFO1LVL7">
    <w:name w:val="WW_CharLFO1LVL7"/>
    <w:qFormat/>
    <w:rPr>
      <w:rFonts w:ascii="OpenSymbol" w:hAnsi="OpenSymbol" w:eastAsia="OpenSymbol" w:cs="OpenSymbol"/>
    </w:rPr>
  </w:style>
  <w:style w:type="character" w:styleId="WWCharLFO1LVL8">
    <w:name w:val="WW_CharLFO1LVL8"/>
    <w:qFormat/>
    <w:rPr>
      <w:rFonts w:ascii="OpenSymbol" w:hAnsi="OpenSymbol" w:eastAsia="OpenSymbol" w:cs="OpenSymbol"/>
    </w:rPr>
  </w:style>
  <w:style w:type="character" w:styleId="WWCharLFO1LVL9">
    <w:name w:val="WW_CharLFO1LVL9"/>
    <w:qFormat/>
    <w:rPr>
      <w:rFonts w:ascii="OpenSymbol" w:hAnsi="OpenSymbol" w:eastAsia="OpenSymbol" w:cs="OpenSymbol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Padro"/>
    <w:pPr>
      <w:spacing w:lineRule="atLeast" w:line="200" w:before="0" w:after="0"/>
      <w:ind w:left="0" w:right="0" w:hanging="0"/>
      <w:jc w:val="center"/>
    </w:pPr>
    <w:rPr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Padro">
    <w:name w:val="Padrão"/>
    <w:qFormat/>
    <w:pPr>
      <w:widowControl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szCs w:val="24"/>
      <w:u w:val="none"/>
      <w:em w:val="none"/>
      <w:lang w:val="pt-BR" w:eastAsia="zh-CN" w:bidi="hi-IN"/>
    </w:rPr>
  </w:style>
  <w:style w:type="paragraph" w:styleId="Contedodatabela">
    <w:name w:val="Conteúdo da tabela"/>
    <w:basedOn w:val="Standard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color w:val="000000"/>
      <w:lang w:eastAsia="pt-BR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/>
    <w:rPr/>
  </w:style>
  <w:style w:type="paragraph" w:styleId="PargrafodaLista">
    <w:name w:val="Parágrafo da Lista"/>
    <w:basedOn w:val="Normal"/>
    <w:qFormat/>
    <w:pPr>
      <w:spacing w:before="0" w:after="160"/>
      <w:ind w:left="720" w:right="0" w:hanging="0"/>
    </w:pPr>
    <w:rPr/>
  </w:style>
  <w:style w:type="paragraph" w:styleId="Objetocomseta">
    <w:name w:val="Objeto com set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comsombra">
    <w:name w:val="Objeto com sombr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">
    <w:name w:val="Objeto sem preenchimento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Objetosempreenchimentonemlinha">
    <w:name w:val="Objeto sem preenchimento nem linh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Corpodotextojustificado">
    <w:name w:val="Corpo do texto justificado"/>
    <w:basedOn w:val="Padro"/>
    <w:qFormat/>
    <w:pPr>
      <w:spacing w:lineRule="atLeast" w:line="200" w:before="0" w:after="0"/>
      <w:ind w:left="0" w:right="0" w:hanging="0"/>
      <w:jc w:val="left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Recuodaprimeiralinha">
    <w:name w:val="Recuo da primeira linha"/>
    <w:basedOn w:val="Padro"/>
    <w:qFormat/>
    <w:pPr>
      <w:spacing w:lineRule="atLeast" w:line="200" w:before="0" w:after="0"/>
      <w:ind w:left="0" w:right="0" w:firstLine="34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11">
    <w:name w:val="Título1"/>
    <w:basedOn w:val="Padro"/>
    <w:qFormat/>
    <w:pPr>
      <w:spacing w:lineRule="atLeast" w:line="200" w:before="0" w:after="0"/>
      <w:ind w:left="0" w:right="0" w:hanging="0"/>
      <w:jc w:val="center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Ttulo21">
    <w:name w:val="Título2"/>
    <w:basedOn w:val="Padro"/>
    <w:qFormat/>
    <w:pPr>
      <w:spacing w:lineRule="atLeast" w:line="200" w:before="57" w:after="57"/>
      <w:ind w:left="0" w:right="113" w:hanging="0"/>
      <w:jc w:val="center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Linhadecota">
    <w:name w:val="Linha de cota"/>
    <w:basedOn w:val="Padro"/>
    <w:qFormat/>
    <w:pPr>
      <w:spacing w:lineRule="atLeast" w:line="200" w:before="0" w:after="0"/>
      <w:ind w:left="0" w:right="0" w:hanging="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36"/>
      <w:u w:val="none"/>
      <w:em w:val="none"/>
    </w:rPr>
  </w:style>
  <w:style w:type="paragraph" w:styleId="PadroLTGliederung1">
    <w:name w:val="Padrão~LT~Gliederung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Gliederung2">
    <w:name w:val="Padrão~LT~Gliederung 2"/>
    <w:basedOn w:val="PadroLTGliederung1"/>
    <w:qFormat/>
    <w:pPr>
      <w:spacing w:before="0" w:after="22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PadroLTGliederung3">
    <w:name w:val="Padrão~LT~Gliederung 3"/>
    <w:basedOn w:val="PadroLTGliederung2"/>
    <w:qFormat/>
    <w:pPr>
      <w:spacing w:before="0" w:after="17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PadroLTGliederung4">
    <w:name w:val="Padrão~LT~Gliederung 4"/>
    <w:basedOn w:val="PadroLTGliederung3"/>
    <w:qFormat/>
    <w:pPr>
      <w:spacing w:before="0" w:after="113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5">
    <w:name w:val="Padrão~LT~Gliederung 5"/>
    <w:basedOn w:val="PadroLTGliederung4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6">
    <w:name w:val="Padrão~LT~Gliederung 6"/>
    <w:basedOn w:val="PadroLTGliederung5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7">
    <w:name w:val="Padrão~LT~Gliederung 7"/>
    <w:basedOn w:val="PadroLTGliederung6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8">
    <w:name w:val="Padrão~LT~Gliederung 8"/>
    <w:basedOn w:val="PadroLTGliederung7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Gliederung9">
    <w:name w:val="Padrão~LT~Gliederung 9"/>
    <w:basedOn w:val="PadroLTGliederung8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PadroLTTitel">
    <w:name w:val="Padrão~LT~Titel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PadroLTUntertitel">
    <w:name w:val="Padrão~LT~Untertitel"/>
    <w:qFormat/>
    <w:pPr>
      <w:widowControl/>
      <w:suppressAutoHyphens w:val="true"/>
      <w:overflowPunct w:val="false"/>
      <w:bidi w:val="0"/>
      <w:spacing w:before="0" w:after="0"/>
      <w:ind w:left="0" w:right="0" w:hanging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PadroLTNotizen">
    <w:name w:val="Padrão~LT~Notizen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PadroLTHintergrundobjekte">
    <w:name w:val="Padrão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PadroLTHintergrund">
    <w:name w:val="Padrão~LT~Hintergrund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  <w:ind w:left="0" w:right="0" w:hanging="0"/>
    </w:pPr>
    <w:rPr>
      <w:rFonts w:ascii="Mangal" w:hAnsi="Mangal" w:cs="Mangal"/>
      <w:color w:val="000000"/>
      <w:kern w:val="2"/>
      <w:sz w:val="36"/>
    </w:rPr>
  </w:style>
  <w:style w:type="paragraph" w:styleId="Objetosdoplanodefundo">
    <w:name w:val="Objetos do plano de fund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Planodefundo">
    <w:name w:val="Plano de fund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otas">
    <w:name w:val="Notas"/>
    <w:qFormat/>
    <w:pPr>
      <w:widowControl/>
      <w:suppressAutoHyphens w:val="true"/>
      <w:overflowPunct w:val="false"/>
      <w:bidi w:val="0"/>
      <w:spacing w:before="0" w:after="0"/>
      <w:ind w:left="340" w:right="0" w:hanging="340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szCs w:val="24"/>
      <w:u w:val="none"/>
      <w:em w:val="none"/>
      <w:lang w:val="pt-BR" w:eastAsia="zh-CN" w:bidi="hi-IN"/>
    </w:rPr>
  </w:style>
  <w:style w:type="paragraph" w:styleId="Estruturadetpicos1">
    <w:name w:val="Estrutura de tópicos 1"/>
    <w:qFormat/>
    <w:pPr>
      <w:widowControl/>
      <w:suppressAutoHyphens w:val="true"/>
      <w:overflowPunct w:val="false"/>
      <w:bidi w:val="0"/>
      <w:spacing w:before="0" w:after="283"/>
      <w:jc w:val="left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pt-BR" w:eastAsia="zh-CN" w:bidi="hi-IN"/>
    </w:rPr>
  </w:style>
  <w:style w:type="paragraph" w:styleId="Estruturadetpicos2">
    <w:name w:val="Estrutura de tópicos 2"/>
    <w:basedOn w:val="Estruturadetpicos1"/>
    <w:qFormat/>
    <w:pPr>
      <w:spacing w:before="0" w:after="22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Estruturadetpicos3">
    <w:name w:val="Estrutura de tópicos 3"/>
    <w:basedOn w:val="Estruturadetpicos2"/>
    <w:qFormat/>
    <w:pPr>
      <w:spacing w:before="0" w:after="170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Estruturadetpicos4">
    <w:name w:val="Estrutura de tópicos 4"/>
    <w:basedOn w:val="Estruturadetpicos3"/>
    <w:qFormat/>
    <w:pPr>
      <w:spacing w:before="0" w:after="113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5">
    <w:name w:val="Estrutura de tópicos 5"/>
    <w:basedOn w:val="Estruturadetpicos4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6">
    <w:name w:val="Estrutura de tópicos 6"/>
    <w:basedOn w:val="Estruturadetpicos5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7">
    <w:name w:val="Estrutura de tópicos 7"/>
    <w:basedOn w:val="Estruturadetpicos6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8">
    <w:name w:val="Estrutura de tópicos 8"/>
    <w:basedOn w:val="Estruturadetpicos7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Estruturadetpicos9">
    <w:name w:val="Estrutura de tópicos 9"/>
    <w:basedOn w:val="Estruturadetpicos8"/>
    <w:qFormat/>
    <w:pPr>
      <w:spacing w:before="0" w:after="57"/>
    </w:pPr>
    <w:rPr>
      <w:rFonts w:ascii="Mangal" w:hAnsi="Mangal" w:cs="Mangal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Smbolosdenumerao1">
    <w:name w:val="Símbolos de numeraç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31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1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01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Marcas">
    <w:name w:val="Marca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21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LinkdaInternet1">
    <w:name w:val="Link da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000080"/>
      <w:kern w:val="2"/>
      <w:sz w:val="24"/>
      <w:szCs w:val="24"/>
      <w:u w:val="single"/>
      <w:lang w:val="pt-BR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faseforte1">
    <w:name w:val="Ênfase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b/>
      <w:color w:val="auto"/>
      <w:kern w:val="2"/>
      <w:sz w:val="24"/>
      <w:szCs w:val="24"/>
      <w:lang w:val="pt-BR" w:eastAsia="zh-CN" w:bidi="hi-IN"/>
    </w:rPr>
  </w:style>
  <w:style w:type="paragraph" w:styleId="Nmerodepgina">
    <w:name w:val="Número de pá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1">
    <w:name w:val="Fonte parág. padrã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1">
    <w:name w:val="WW-Absatz-Standardschriftart11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1">
    <w:name w:val="WW-Absatz-Standardschriftart1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1">
    <w:name w:val="WW-Absatz-Standardschriftart1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1">
    <w:name w:val="WW-Absatz-Standardschriftart1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2">
    <w:name w:val="Fonte parág. padrã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1">
    <w:name w:val="WW-Absatz-Standardschriftart1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1">
    <w:name w:val="WW-Absatz-Standardschriftart1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1">
    <w:name w:val="WW-Absatz-Standardschriftart1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1">
    <w:name w:val="WW-Absatz-Standardschriftart1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1">
    <w:name w:val="WW-Absatz-Standardschriftart1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1">
    <w:name w:val="WW-Absatz-Standardschriftart1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1">
    <w:name w:val="WW-Absatz-Standardschriftart1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1">
    <w:name w:val="WW-Absatz-Standardschriftart1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1">
    <w:name w:val="WW-Absatz-Standardschriftart1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1">
    <w:name w:val="WW-Absatz-Standardschriftart1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1">
    <w:name w:val="WW-Absatz-Standardschriftart1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1">
    <w:name w:val="WW-Absatz-Standardschriftart1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1">
    <w:name w:val="WW-Absatz-Standardschriftart1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1">
    <w:name w:val="WW-Absatz-Standardschriftart1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1">
    <w:name w:val="WW-Absatz-Standardschriftart1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1">
    <w:name w:val="WW-Absatz-Standardschriftart1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1">
    <w:name w:val="WW-Absatz-Standardschriftart1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1">
    <w:name w:val="WW-Absatz-Standardschriftart1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1">
    <w:name w:val="WW-Absatz-Standardschriftart1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1">
    <w:name w:val="WW-Absatz-Standardschriftart1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1">
    <w:name w:val="WW-Absatz-Standardschriftart1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1">
    <w:name w:val="WW-Absatz-Standardschriftart1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1">
    <w:name w:val="WW-Absatz-Standardschriftart1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1">
    <w:name w:val="WW-Absatz-Standardschriftart1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1">
    <w:name w:val="WW-Absatz-Standardschriftart1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1">
    <w:name w:val="WW-Absatz-Standardschriftart1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1">
    <w:name w:val="WW-Absatz-Standardschriftart1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1">
    <w:name w:val="WW-Absatz-Standardschriftart1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1">
    <w:name w:val="WW-Absatz-Standardschriftart1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1">
    <w:name w:val="WW-Absatz-Standardschriftart1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1">
    <w:name w:val="WW-Absatz-Standardschriftart1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1">
    <w:name w:val="WW-Absatz-Standardschriftart1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1">
    <w:name w:val="WW-Absatz-Standardschriftart1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1">
    <w:name w:val="WW-Absatz-Standardschriftart1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1">
    <w:name w:val="WW-Absatz-Standardschriftart1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1">
    <w:name w:val="WW-Absatz-Standardschriftart1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1">
    <w:name w:val="WW-Absatz-Standardschriftart1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1">
    <w:name w:val="WW-Absatz-Standardschriftart1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1">
    <w:name w:val="WW-Absatz-Standardschriftart1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1">
    <w:name w:val="WW-Absatz-Standardschriftart1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1">
    <w:name w:val="WW-Absatz-Standardschriftart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1">
    <w:name w:val="WW-Absatz-Standardschriftar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AbsatzStandardschriftart">
    <w:name w:val="WW-Absatz-Standardschriftar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AbsatzStandardschriftart">
    <w:name w:val="Absatz-Standardschriftar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ntepargpadro3">
    <w:name w:val="Fonte parág. padrã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0"/>
      <w:szCs w:val="24"/>
      <w:lang w:val="pt-BR" w:eastAsia="zh-CN" w:bidi="hi-IN"/>
    </w:rPr>
  </w:style>
  <w:style w:type="paragraph" w:styleId="WW8Num8z8">
    <w:name w:val="WW8Num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7">
    <w:name w:val="WW8Num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6">
    <w:name w:val="WW8Num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5">
    <w:name w:val="WW8Num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4">
    <w:name w:val="WW8Num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3">
    <w:name w:val="WW8Num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2">
    <w:name w:val="WW8Num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8z11">
    <w:name w:val="WW8Num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2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2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4z2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3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2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NormalWeb">
    <w:name w:val="Normal (Web)"/>
    <w:qFormat/>
    <w:pPr>
      <w:widowControl/>
      <w:suppressAutoHyphens w:val="true"/>
      <w:overflowPunct w:val="false"/>
      <w:bidi w:val="0"/>
      <w:spacing w:before="176" w:after="210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Contedodetabela">
    <w:name w:val="Conteúdo de tabel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Contedodequadro">
    <w:name w:val="Conteúdo de quadro"/>
    <w:qFormat/>
    <w:pPr>
      <w:widowControl/>
      <w:suppressAutoHyphens w:val="true"/>
      <w:overflowPunct w:val="false"/>
      <w:bidi w:val="0"/>
      <w:spacing w:before="0" w:after="212"/>
      <w:jc w:val="left"/>
    </w:pPr>
    <w:rPr>
      <w:rFonts w:ascii="Times New Roman" w:hAnsi="Times New Roman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egenda1">
    <w:name w:val="Legend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ahoma" w:hAnsi="Tahoma" w:eastAsia="Tahoma" w:cs="Liberation Sans;Arial"/>
      <w:i/>
      <w:color w:val="000000"/>
      <w:kern w:val="2"/>
      <w:sz w:val="24"/>
      <w:szCs w:val="24"/>
      <w:lang w:val="pt-BR" w:eastAsia="zh-CN" w:bidi="hi-IN"/>
    </w:rPr>
  </w:style>
  <w:style w:type="paragraph" w:styleId="Captulo">
    <w:name w:val="Capítulo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Tahoma" w:hAnsi="Tahoma" w:eastAsia="Tahoma" w:cs="Liberation Sans;Arial"/>
      <w:color w:val="000000"/>
      <w:kern w:val="2"/>
      <w:sz w:val="28"/>
      <w:szCs w:val="24"/>
      <w:lang w:val="pt-BR" w:eastAsia="zh-CN" w:bidi="hi-IN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pt-BR" w:eastAsia="zh-CN" w:bidi="hi-IN"/>
    </w:rPr>
  </w:style>
  <w:style w:type="paragraph" w:styleId="ListLabel2100">
    <w:name w:val="ListLabel 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ListLabel1100">
    <w:name w:val="ListLabel 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CharLFO21LVL9">
    <w:name w:val="WW_CharLFO2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8">
    <w:name w:val="WW_CharLFO2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7">
    <w:name w:val="WW_CharLFO2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6">
    <w:name w:val="WW_CharLFO2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5">
    <w:name w:val="WW_CharLFO2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4">
    <w:name w:val="WW_CharLFO2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3">
    <w:name w:val="WW_CharLFO2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2">
    <w:name w:val="WW_CharLFO2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1LVL1">
    <w:name w:val="WW_CharLFO2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9">
    <w:name w:val="WW_CharLFO20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8">
    <w:name w:val="WW_CharLFO20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7">
    <w:name w:val="WW_CharLFO20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6">
    <w:name w:val="WW_CharLFO20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5">
    <w:name w:val="WW_CharLFO20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4">
    <w:name w:val="WW_CharLFO20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3">
    <w:name w:val="WW_CharLFO20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2">
    <w:name w:val="WW_CharLFO20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0LVL1">
    <w:name w:val="WW_CharLFO20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9">
    <w:name w:val="WW_CharLFO19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8">
    <w:name w:val="WW_CharLFO19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7">
    <w:name w:val="WW_CharLFO19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6">
    <w:name w:val="WW_CharLFO19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5">
    <w:name w:val="WW_CharLFO19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4">
    <w:name w:val="WW_CharLFO19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3">
    <w:name w:val="WW_CharLFO19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2">
    <w:name w:val="WW_CharLFO19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9LVL1">
    <w:name w:val="WW_CharLFO19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9">
    <w:name w:val="WW_CharLFO18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8">
    <w:name w:val="WW_CharLFO18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7">
    <w:name w:val="WW_CharLFO18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6">
    <w:name w:val="WW_CharLFO18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5">
    <w:name w:val="WW_CharLFO18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4">
    <w:name w:val="WW_CharLFO18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3">
    <w:name w:val="WW_CharLFO18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2">
    <w:name w:val="WW_CharLFO18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8LVL1">
    <w:name w:val="WW_CharLFO18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9">
    <w:name w:val="WW_CharLFO17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8">
    <w:name w:val="WW_CharLFO17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7">
    <w:name w:val="WW_CharLFO17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6">
    <w:name w:val="WW_CharLFO17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5">
    <w:name w:val="WW_CharLFO17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4">
    <w:name w:val="WW_CharLFO17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3">
    <w:name w:val="WW_CharLFO17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2">
    <w:name w:val="WW_CharLFO17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7LVL1">
    <w:name w:val="WW_CharLFO17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9">
    <w:name w:val="WW_CharLFO16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8">
    <w:name w:val="WW_CharLFO16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7">
    <w:name w:val="WW_CharLFO16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6">
    <w:name w:val="WW_CharLFO16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5">
    <w:name w:val="WW_CharLFO16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4">
    <w:name w:val="WW_CharLFO16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3">
    <w:name w:val="WW_CharLFO16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2">
    <w:name w:val="WW_CharLFO16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6LVL1">
    <w:name w:val="WW_CharLFO16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9">
    <w:name w:val="WW_CharLFO15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8">
    <w:name w:val="WW_CharLFO15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7">
    <w:name w:val="WW_CharLFO15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6">
    <w:name w:val="WW_CharLFO15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5">
    <w:name w:val="WW_CharLFO15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4">
    <w:name w:val="WW_CharLFO15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3">
    <w:name w:val="WW_CharLFO15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2">
    <w:name w:val="WW_CharLFO15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5LVL1">
    <w:name w:val="WW_CharLFO15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9">
    <w:name w:val="WW_CharLFO14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8">
    <w:name w:val="WW_CharLFO14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7">
    <w:name w:val="WW_CharLFO14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6">
    <w:name w:val="WW_CharLFO14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5">
    <w:name w:val="WW_CharLFO14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4">
    <w:name w:val="WW_CharLFO14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3">
    <w:name w:val="WW_CharLFO14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2">
    <w:name w:val="WW_CharLFO14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4LVL1">
    <w:name w:val="WW_CharLFO14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9">
    <w:name w:val="WW_CharLFO13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8">
    <w:name w:val="WW_CharLFO13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7">
    <w:name w:val="WW_CharLFO13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6">
    <w:name w:val="WW_CharLFO13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5">
    <w:name w:val="WW_CharLFO13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4">
    <w:name w:val="WW_CharLFO13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3">
    <w:name w:val="WW_CharLFO13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2">
    <w:name w:val="WW_CharLFO13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3LVL1">
    <w:name w:val="WW_CharLFO13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9">
    <w:name w:val="WW_CharLFO12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8">
    <w:name w:val="WW_CharLFO12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7">
    <w:name w:val="WW_CharLFO12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6">
    <w:name w:val="WW_CharLFO12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5">
    <w:name w:val="WW_CharLFO12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4">
    <w:name w:val="WW_CharLFO12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3">
    <w:name w:val="WW_CharLFO12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2">
    <w:name w:val="WW_CharLFO12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2LVL1">
    <w:name w:val="WW_CharLFO12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9">
    <w:name w:val="WW_CharLFO1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8">
    <w:name w:val="WW_CharLFO1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7">
    <w:name w:val="WW_CharLFO1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6">
    <w:name w:val="WW_CharLFO1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5">
    <w:name w:val="WW_CharLFO1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4">
    <w:name w:val="WW_CharLFO1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3">
    <w:name w:val="WW_CharLFO1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2">
    <w:name w:val="WW_CharLFO1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1LVL1">
    <w:name w:val="WW_CharLFO1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9">
    <w:name w:val="WW_CharLFO10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8">
    <w:name w:val="WW_CharLFO10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7">
    <w:name w:val="WW_CharLFO10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6">
    <w:name w:val="WW_CharLFO10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5">
    <w:name w:val="WW_CharLFO10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4">
    <w:name w:val="WW_CharLFO10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3">
    <w:name w:val="WW_CharLFO10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2">
    <w:name w:val="WW_CharLFO10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0LVL1">
    <w:name w:val="WW_CharLFO10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9">
    <w:name w:val="WW_CharLFO9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8">
    <w:name w:val="WW_CharLFO9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7">
    <w:name w:val="WW_CharLFO9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6">
    <w:name w:val="WW_CharLFO9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5">
    <w:name w:val="WW_CharLFO9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4">
    <w:name w:val="WW_CharLFO9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3">
    <w:name w:val="WW_CharLFO9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2">
    <w:name w:val="WW_CharLFO9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9LVL1">
    <w:name w:val="WW_CharLFO9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9">
    <w:name w:val="WW_CharLFO8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8">
    <w:name w:val="WW_CharLFO8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7">
    <w:name w:val="WW_CharLFO8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6">
    <w:name w:val="WW_CharLFO8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5">
    <w:name w:val="WW_CharLFO8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4">
    <w:name w:val="WW_CharLFO8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3">
    <w:name w:val="WW_CharLFO8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2">
    <w:name w:val="WW_CharLFO8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8LVL1">
    <w:name w:val="WW_CharLFO8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9">
    <w:name w:val="WW_CharLFO7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8">
    <w:name w:val="WW_CharLFO7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7">
    <w:name w:val="WW_CharLFO7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6">
    <w:name w:val="WW_CharLFO7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5">
    <w:name w:val="WW_CharLFO7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4">
    <w:name w:val="WW_CharLFO7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3">
    <w:name w:val="WW_CharLFO7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2">
    <w:name w:val="WW_CharLFO7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7LVL1">
    <w:name w:val="WW_CharLFO7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9">
    <w:name w:val="WW_CharLFO6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8">
    <w:name w:val="WW_CharLFO6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7">
    <w:name w:val="WW_CharLFO6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6">
    <w:name w:val="WW_CharLFO6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5">
    <w:name w:val="WW_CharLFO6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4">
    <w:name w:val="WW_CharLFO6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3">
    <w:name w:val="WW_CharLFO6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2">
    <w:name w:val="WW_CharLFO6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6LVL1">
    <w:name w:val="WW_CharLFO6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9">
    <w:name w:val="WW_CharLFO5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8">
    <w:name w:val="WW_CharLFO5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7">
    <w:name w:val="WW_CharLFO5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6">
    <w:name w:val="WW_CharLFO5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5">
    <w:name w:val="WW_CharLFO5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4">
    <w:name w:val="WW_CharLFO5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3">
    <w:name w:val="WW_CharLFO5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2">
    <w:name w:val="WW_CharLFO5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5LVL1">
    <w:name w:val="WW_CharLFO5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9">
    <w:name w:val="WW_CharLFO4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8">
    <w:name w:val="WW_CharLFO4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7">
    <w:name w:val="WW_CharLFO4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6">
    <w:name w:val="WW_CharLFO4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5">
    <w:name w:val="WW_CharLFO4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4">
    <w:name w:val="WW_CharLFO4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3">
    <w:name w:val="WW_CharLFO4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2">
    <w:name w:val="WW_CharLFO4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4LVL1">
    <w:name w:val="WW_CharLFO4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91">
    <w:name w:val="WW_CharLFO2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81">
    <w:name w:val="WW_CharLFO2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71">
    <w:name w:val="WW_CharLFO2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61">
    <w:name w:val="WW_CharLFO2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51">
    <w:name w:val="WW_CharLFO2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41">
    <w:name w:val="WW_CharLFO2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31">
    <w:name w:val="WW_CharLFO2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21">
    <w:name w:val="WW_CharLFO2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2LVL11">
    <w:name w:val="WW_CharLFO2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91">
    <w:name w:val="WW_CharLFO1LVL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81">
    <w:name w:val="WW_CharLFO1LVL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71">
    <w:name w:val="WW_CharLFO1LVL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61">
    <w:name w:val="WW_CharLFO1LVL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51">
    <w:name w:val="WW_CharLFO1LVL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41">
    <w:name w:val="WW_CharLFO1LVL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31">
    <w:name w:val="WW_CharLFO1LVL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21">
    <w:name w:val="WW_CharLFO1LVL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CharLFO1LVL11">
    <w:name w:val="WW_CharLFO1LV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umberingSymbols">
    <w:name w:val="Numbering Symbol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Bullets">
    <w:name w:val="Bullet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Paragraph">
    <w:name w:val="List Paragraph"/>
    <w:qFormat/>
    <w:pPr>
      <w:widowControl/>
      <w:suppressAutoHyphens w:val="true"/>
      <w:overflowPunct w:val="false"/>
      <w:bidi w:val="0"/>
      <w:spacing w:lineRule="auto" w:line="276" w:before="0" w:after="0"/>
      <w:ind w:left="2240" w:right="0" w:hanging="0"/>
      <w:jc w:val="left"/>
    </w:pPr>
    <w:rPr>
      <w:rFonts w:ascii="Liberation Sans;Arial" w:hAnsi="Liberation Sans;Arial" w:eastAsia="Tahoma" w:cs="Liberation Sans;Arial"/>
      <w:color w:val="00000A"/>
      <w:kern w:val="2"/>
      <w:sz w:val="24"/>
      <w:szCs w:val="24"/>
      <w:lang w:val="pt-BR" w:eastAsia="zh-CN" w:bidi="hi-IN"/>
    </w:rPr>
  </w:style>
  <w:style w:type="paragraph" w:styleId="Normal1">
    <w:name w:val="Normal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Timesnewromam">
    <w:name w:val="Times new romam"/>
    <w:qFormat/>
    <w:pPr>
      <w:widowControl/>
      <w:suppressAutoHyphens w:val="true"/>
      <w:overflowPunct w:val="false"/>
      <w:bidi w:val="0"/>
      <w:spacing w:lineRule="auto" w:line="276" w:before="0" w:after="0"/>
      <w:ind w:left="0" w:right="2168" w:hanging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9z3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01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1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1z01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01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01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01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01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01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1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3">
    <w:name w:val="WW8Num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01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01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01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1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01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2z2">
    <w:name w:val="WW8Num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1z3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2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4z3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8z2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1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1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1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1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5z3">
    <w:name w:val="WW8Num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6z2">
    <w:name w:val="WW8Num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1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1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1z2">
    <w:name w:val="WW8Num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4z2">
    <w:name w:val="WW8Num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7z2">
    <w:name w:val="WW8Num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42z2">
    <w:name w:val="WW8Num4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Appleconvertedspace">
    <w:name w:val="apple-converted-spac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710">
    <w:name w:val="ListLabel 1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810">
    <w:name w:val="ListLabel 1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ListLabel1910">
    <w:name w:val="ListLabel 19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Ttulo12345">
    <w:name w:val="WW-Título12345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WWTtulo21">
    <w:name w:val="WW-Título2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1">
    <w:name w:val="WW-Título1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234">
    <w:name w:val="WW-Título1234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23">
    <w:name w:val="WW-Título123"/>
    <w:qFormat/>
    <w:pPr>
      <w:widowControl/>
      <w:suppressAutoHyphens w:val="true"/>
      <w:overflowPunct w:val="false"/>
      <w:bidi w:val="0"/>
      <w:spacing w:before="746" w:after="374"/>
      <w:jc w:val="left"/>
    </w:pPr>
    <w:rPr>
      <w:rFonts w:ascii="Lucida Sans Unicode" w:hAnsi="Lucida Sans Unicode" w:eastAsia="Tahoma" w:cs="Liberation Sans;Arial"/>
      <w:color w:val="000000"/>
      <w:kern w:val="2"/>
      <w:sz w:val="28"/>
      <w:szCs w:val="24"/>
      <w:lang w:val="pt-BR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WWTtulo12">
    <w:name w:val="WW-Título12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Mangal" w:hAnsi="Mangal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pt-BR" w:eastAsia="zh-CN" w:bidi="hi-IN"/>
    </w:rPr>
  </w:style>
  <w:style w:type="paragraph" w:styleId="Turquise3">
    <w:name w:val="turquise3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Turquise2">
    <w:name w:val="turquise2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Turquise1">
    <w:name w:val="turquise1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left"/>
    </w:pPr>
    <w:rPr>
      <w:rFonts w:ascii="Mangal" w:hAnsi="Mangal" w:eastAsia="Tahoma" w:cs="Liberation Sans;Arial"/>
      <w:color w:val="000000"/>
      <w:kern w:val="2"/>
      <w:sz w:val="36"/>
      <w:szCs w:val="24"/>
      <w:lang w:val="pt-BR" w:eastAsia="zh-CN" w:bidi="hi-IN"/>
    </w:rPr>
  </w:style>
  <w:style w:type="paragraph" w:styleId="WWTtulo2">
    <w:name w:val="WW-Título2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1">
    <w:name w:val="WW-Título1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WWTtulo">
    <w:name w:val="WW-Título"/>
    <w:qFormat/>
    <w:pPr>
      <w:widowControl/>
      <w:suppressAutoHyphens w:val="true"/>
      <w:overflowPunct w:val="false"/>
      <w:bidi w:val="0"/>
      <w:spacing w:lineRule="atLeast" w:line="623" w:before="420" w:after="210"/>
      <w:ind w:left="0" w:right="0" w:hanging="0"/>
      <w:jc w:val="left"/>
    </w:pPr>
    <w:rPr>
      <w:rFonts w:ascii="Liberation Serif;Times New Roman" w:hAnsi="Liberation Serif;Times New Roman" w:eastAsia="Tahoma" w:cs="Liberation Sans;Arial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LONormal">
    <w:name w:val="LO-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Mangal" w:hAnsi="Mang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coradanotaderodap">
    <w:name w:val="Âncora da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Caracteresdenotaderodap">
    <w:name w:val="Caracteres de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Caracteresdenotadefim">
    <w:name w:val="WW-Caracteres de nota de fim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Caracteresdenotadefim">
    <w:name w:val="Caracteres de nota de fim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3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Symbol" w:hAnsi="Symbol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Refdenotaderodap">
    <w:name w:val="Ref. de nota de rodapé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81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71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61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51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Default1">
    <w:name w:val="Default"/>
    <w:basedOn w:val="Normal"/>
    <w:qFormat/>
    <w:pPr>
      <w:jc w:val="left"/>
    </w:pPr>
    <w:rPr>
      <w:rFonts w:ascii="Calibri" w:hAnsi="Calibri" w:eastAsia="Calibri" w:cs="Calibri"/>
      <w:color w:val="000000"/>
      <w:sz w:val="24"/>
      <w:szCs w:val="24"/>
    </w:rPr>
  </w:style>
  <w:style w:type="paragraph" w:styleId="TableParagraph">
    <w:name w:val="Table Paragraph"/>
    <w:basedOn w:val="Normal"/>
    <w:qFormat/>
    <w:pPr>
      <w:spacing w:before="17" w:after="0"/>
    </w:pPr>
    <w:rPr>
      <w:rFonts w:ascii="Arial" w:hAnsi="Arial" w:eastAsia="Arial" w:cs="Arial"/>
      <w:lang w:val="pt-PT" w:bidi="pt-PT"/>
    </w:rPr>
  </w:style>
  <w:style w:type="paragraph" w:styleId="Ttulo1Char">
    <w:name w:val="Título 1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rlito;Calibri" w:hAnsi="Carlito;Calibri" w:eastAsia="Tahoma" w:cs="Liberation Sans;Arial"/>
      <w:b/>
      <w:color w:val="auto"/>
      <w:kern w:val="2"/>
      <w:sz w:val="18"/>
      <w:szCs w:val="24"/>
      <w:lang w:val="pt-BR" w:eastAsia="zh-CN" w:bidi="hi-IN"/>
    </w:rPr>
  </w:style>
  <w:style w:type="paragraph" w:styleId="CorpodetextoChar">
    <w:name w:val="Corpo de texto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rlito;Calibri" w:hAnsi="Carlito;Calibri" w:eastAsia="Tahoma" w:cs="Liberation Sans;Arial"/>
      <w:color w:val="auto"/>
      <w:kern w:val="2"/>
      <w:sz w:val="16"/>
      <w:szCs w:val="24"/>
      <w:lang w:val="pt-BR" w:eastAsia="zh-CN" w:bidi="hi-IN"/>
    </w:rPr>
  </w:style>
  <w:style w:type="paragraph" w:styleId="RodapChar">
    <w:name w:val="Rodapé Cha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anchor">
    <w:name w:val="Footnote anchor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Symbol">
    <w:name w:val="Footnote Symbo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StrongEmphasis">
    <w:name w:val="Strong Emphasi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b/>
      <w:color w:val="auto"/>
      <w:kern w:val="2"/>
      <w:sz w:val="24"/>
      <w:szCs w:val="24"/>
      <w:lang w:val="pt-BR" w:eastAsia="zh-CN" w:bidi="hi-IN"/>
    </w:rPr>
  </w:style>
  <w:style w:type="paragraph" w:styleId="Internetlink">
    <w:name w:val="Hyperlink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000080"/>
      <w:kern w:val="2"/>
      <w:sz w:val="24"/>
      <w:szCs w:val="24"/>
      <w:u w:val="single"/>
      <w:lang w:val="pt-BR" w:eastAsia="zh-CN" w:bidi="hi-IN"/>
    </w:rPr>
  </w:style>
  <w:style w:type="paragraph" w:styleId="BulletSymbols">
    <w:name w:val="Bullet Symbols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b w:val="false"/>
      <w:color w:val="auto"/>
      <w:kern w:val="2"/>
      <w:sz w:val="24"/>
      <w:szCs w:val="24"/>
      <w:lang w:val="pt-BR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8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7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6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5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4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8z3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3z3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0z3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21z1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5z3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3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6z2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3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Wingdings" w:hAnsi="Wingding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8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7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6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5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4z4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WW8Num12z3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;Arial"/>
      <w:color w:val="auto"/>
      <w:kern w:val="2"/>
      <w:sz w:val="24"/>
      <w:szCs w:val="24"/>
      <w:lang w:val="pt-BR" w:eastAsia="zh-CN" w:bidi="hi-IN"/>
    </w:rPr>
  </w:style>
  <w:style w:type="paragraph" w:styleId="Footnote">
    <w:name w:val="Footnote"/>
    <w:qFormat/>
    <w:pPr>
      <w:widowControl/>
      <w:suppressAutoHyphens w:val="true"/>
      <w:overflowPunct w:val="false"/>
      <w:bidi w:val="0"/>
      <w:spacing w:before="0" w:after="0"/>
      <w:ind w:left="598" w:right="0" w:hanging="0"/>
      <w:jc w:val="left"/>
    </w:pPr>
    <w:rPr>
      <w:rFonts w:ascii="Mangal" w:hAnsi="Mangal" w:eastAsia="Tahoma" w:cs="Liberation Sans;Arial"/>
      <w:color w:val="000000"/>
      <w:kern w:val="2"/>
      <w:sz w:val="20"/>
      <w:szCs w:val="24"/>
      <w:lang w:val="pt-BR" w:eastAsia="zh-CN" w:bidi="hi-IN"/>
    </w:rPr>
  </w:style>
  <w:style w:type="paragraph" w:styleId="Refdenotaderodap1">
    <w:name w:val="Ref. de nota de rodapé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Fontepargpadro31">
    <w:name w:val="Fonte parág. padrã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Nmerodepgina1">
    <w:name w:val="Número de página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ans;Arial" w:hAnsi="Liberation Sans;Arial" w:eastAsia="Tahoma" w:cs="Liberation Sans;Arial"/>
      <w:color w:val="000000"/>
      <w:kern w:val="2"/>
      <w:sz w:val="24"/>
      <w:szCs w:val="24"/>
      <w:lang w:val="pt-BR" w:eastAsia="zh-CN" w:bidi="hi-IN"/>
    </w:rPr>
  </w:style>
  <w:style w:type="paragraph" w:styleId="Textbody">
    <w:name w:val="Text body"/>
    <w:qFormat/>
    <w:pPr>
      <w:widowControl/>
      <w:suppressAutoHyphens w:val="true"/>
      <w:overflowPunct w:val="false"/>
      <w:bidi w:val="0"/>
      <w:spacing w:lineRule="atLeast" w:line="623" w:before="0" w:after="0"/>
      <w:ind w:left="0" w:right="0" w:hanging="0"/>
      <w:jc w:val="center"/>
    </w:pPr>
    <w:rPr>
      <w:rFonts w:ascii="Liberation Sans;Arial" w:hAnsi="Liberation Sans;Arial" w:eastAsia="Tahoma" w:cs="Liberation Sans;Arial"/>
      <w:b w:val="false"/>
      <w:i w:val="false"/>
      <w:strike w:val="false"/>
      <w:dstrike w:val="false"/>
      <w:outline w:val="false"/>
      <w:color w:val="000000"/>
      <w:kern w:val="2"/>
      <w:sz w:val="24"/>
      <w:szCs w:val="24"/>
      <w:u w:val="none"/>
      <w:em w:val="none"/>
      <w:lang w:val="pt-BR" w:eastAsia="zh-CN" w:bidi="hi-IN"/>
    </w:rPr>
  </w:style>
  <w:style w:type="paragraph" w:styleId="LONormal1">
    <w:name w:val="LO-Normal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Subttulo">
    <w:name w:val="Subtitle"/>
    <w:basedOn w:val="Ttulo"/>
    <w:next w:val="Corpodotexto"/>
    <w:qFormat/>
    <w:pPr>
      <w:jc w:val="center"/>
    </w:pPr>
    <w:rPr>
      <w:i/>
      <w:iCs/>
      <w:sz w:val="28"/>
      <w:szCs w:val="28"/>
    </w:rPr>
  </w:style>
  <w:style w:type="paragraph" w:styleId="Corpodetexto">
    <w:name w:val="Corpo de texto"/>
    <w:qFormat/>
    <w:pPr>
      <w:widowControl/>
      <w:suppressAutoHyphens w:val="true"/>
      <w:overflowPunct w:val="false"/>
      <w:bidi w:val="0"/>
      <w:spacing w:before="0" w:after="247"/>
      <w:jc w:val="left"/>
    </w:pPr>
    <w:rPr>
      <w:rFonts w:ascii="Times New Roman" w:hAnsi="Times New Roman" w:eastAsia="Tahoma" w:cs="Arial"/>
      <w:color w:val="auto"/>
      <w:kern w:val="2"/>
      <w:sz w:val="24"/>
      <w:szCs w:val="24"/>
      <w:lang w:val="pt-BR" w:eastAsia="zh-CN" w:bidi="hi-IN"/>
    </w:rPr>
  </w:style>
  <w:style w:type="paragraph" w:styleId="Rodap">
    <w:name w:val="Footer"/>
    <w:basedOn w:val="Normal"/>
    <w:pPr>
      <w:suppressLineNumbers/>
      <w:tabs>
        <w:tab w:val="clear" w:pos="720"/>
        <w:tab w:val="center" w:pos="5386" w:leader="none"/>
        <w:tab w:val="right" w:pos="10772" w:leader="none"/>
      </w:tabs>
    </w:pPr>
    <w:rPr/>
  </w:style>
  <w:style w:type="paragraph" w:styleId="Cabealhoesquerda">
    <w:name w:val="Cabeçalho à esquerda"/>
    <w:basedOn w:val="Normal"/>
    <w:qFormat/>
    <w:pPr>
      <w:suppressLineNumbers/>
      <w:tabs>
        <w:tab w:val="clear" w:pos="720"/>
        <w:tab w:val="center" w:pos="4972" w:leader="none"/>
        <w:tab w:val="right" w:pos="9945" w:leader="none"/>
      </w:tabs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"/>
    <w:next w:val="Corpodotexto"/>
    <w:qFormat/>
    <w:pPr>
      <w:jc w:val="center"/>
    </w:pPr>
    <w:rPr>
      <w:b/>
      <w:bCs/>
      <w:sz w:val="36"/>
      <w:szCs w:val="36"/>
    </w:rPr>
  </w:style>
  <w:style w:type="paragraph" w:styleId="LONormal3">
    <w:name w:val="LO-Normal3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0"/>
      <w:sz w:val="24"/>
      <w:szCs w:val="24"/>
      <w:lang w:val="pt-BR" w:eastAsia="zh-CN" w:bidi="hi-IN"/>
    </w:rPr>
  </w:style>
  <w:style w:type="paragraph" w:styleId="Estilopadrodedesenho">
    <w:name w:val="Estilo padrão de desenho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pt-BR" w:eastAsia="zh-CN" w:bidi="hi-IN"/>
    </w:rPr>
  </w:style>
  <w:style w:type="paragraph" w:styleId="A4">
    <w:name w:val="A4"/>
    <w:basedOn w:val="Texto"/>
    <w:qFormat/>
    <w:pPr/>
    <w:rPr>
      <w:rFonts w:ascii="Noto Sans" w:hAnsi="Noto Sans"/>
      <w:sz w:val="36"/>
    </w:rPr>
  </w:style>
  <w:style w:type="paragraph" w:styleId="Texto">
    <w:name w:val="Texto"/>
    <w:basedOn w:val="Legenda"/>
    <w:qFormat/>
    <w:pPr/>
    <w:rPr/>
  </w:style>
  <w:style w:type="paragraph" w:styleId="TtulododocumentoA4">
    <w:name w:val="Título do documento A4"/>
    <w:basedOn w:val="A4"/>
    <w:qFormat/>
    <w:pPr/>
    <w:rPr>
      <w:rFonts w:ascii="Noto Sans" w:hAnsi="Noto Sans"/>
      <w:sz w:val="87"/>
    </w:rPr>
  </w:style>
  <w:style w:type="paragraph" w:styleId="TtuloA4">
    <w:name w:val="Título A4"/>
    <w:basedOn w:val="A4"/>
    <w:qFormat/>
    <w:pPr/>
    <w:rPr>
      <w:rFonts w:ascii="Noto Sans" w:hAnsi="Noto Sans"/>
      <w:sz w:val="48"/>
    </w:rPr>
  </w:style>
  <w:style w:type="paragraph" w:styleId="TextoA4">
    <w:name w:val="Texto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o"/>
    <w:qFormat/>
    <w:pPr/>
    <w:rPr>
      <w:rFonts w:ascii="Noto Sans" w:hAnsi="Noto Sans"/>
      <w:sz w:val="95"/>
    </w:rPr>
  </w:style>
  <w:style w:type="paragraph" w:styleId="TtulododocumentoA0">
    <w:name w:val="Título do documento A0"/>
    <w:basedOn w:val="A0"/>
    <w:qFormat/>
    <w:pPr/>
    <w:rPr>
      <w:rFonts w:ascii="Noto Sans" w:hAnsi="Noto Sans"/>
      <w:sz w:val="191"/>
    </w:rPr>
  </w:style>
  <w:style w:type="paragraph" w:styleId="TtuloA0">
    <w:name w:val="Título A0"/>
    <w:basedOn w:val="A0"/>
    <w:qFormat/>
    <w:pPr/>
    <w:rPr>
      <w:rFonts w:ascii="Noto Sans" w:hAnsi="Noto Sans"/>
      <w:sz w:val="143"/>
    </w:rPr>
  </w:style>
  <w:style w:type="paragraph" w:styleId="TextoA0">
    <w:name w:val="Texto A0"/>
    <w:basedOn w:val="A0"/>
    <w:qFormat/>
    <w:pPr/>
    <w:rPr>
      <w:rFonts w:ascii="Noto Sans" w:hAnsi="Noto Sans"/>
      <w:sz w:val="95"/>
    </w:rPr>
  </w:style>
  <w:style w:type="paragraph" w:styleId="Formas">
    <w:name w:val="Formas"/>
    <w:basedOn w:val="Figura"/>
    <w:qFormat/>
    <w:pPr/>
    <w:rPr>
      <w:rFonts w:ascii="Liberation Sans" w:hAnsi="Liberation Sans"/>
      <w:b/>
      <w:sz w:val="28"/>
    </w:rPr>
  </w:style>
  <w:style w:type="paragraph" w:styleId="Figura">
    <w:name w:val="Figura"/>
    <w:basedOn w:val="Legenda"/>
    <w:qFormat/>
    <w:pPr/>
    <w:rPr/>
  </w:style>
  <w:style w:type="paragraph" w:styleId="Preenchido">
    <w:name w:val="Preenchido"/>
    <w:basedOn w:val="Formas"/>
    <w:qFormat/>
    <w:pPr/>
    <w:rPr>
      <w:rFonts w:ascii="Liberation Sans" w:hAnsi="Liberation Sans"/>
      <w:b/>
      <w:sz w:val="28"/>
    </w:rPr>
  </w:style>
  <w:style w:type="paragraph" w:styleId="Preenchidoazul">
    <w:name w:val="Preenchido azul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de">
    <w:name w:val="Preenchido verde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vermelho">
    <w:name w:val="Preenchido vermelh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Preenchidoamarelo">
    <w:name w:val="Preenchido amarelo"/>
    <w:basedOn w:val="Preenchido"/>
    <w:qFormat/>
    <w:pPr/>
    <w:rPr>
      <w:rFonts w:ascii="Liberation Sans" w:hAnsi="Liberation Sans"/>
      <w:b/>
      <w:color w:val="FFFFFF"/>
      <w:sz w:val="28"/>
    </w:rPr>
  </w:style>
  <w:style w:type="paragraph" w:styleId="Contorno">
    <w:name w:val="Contorno"/>
    <w:basedOn w:val="Formas"/>
    <w:qFormat/>
    <w:pPr/>
    <w:rPr>
      <w:rFonts w:ascii="Liberation Sans" w:hAnsi="Liberation Sans"/>
      <w:b/>
      <w:sz w:val="28"/>
    </w:rPr>
  </w:style>
  <w:style w:type="paragraph" w:styleId="Contornoazul">
    <w:name w:val="Contorno azul"/>
    <w:basedOn w:val="Contorno"/>
    <w:qFormat/>
    <w:pPr/>
    <w:rPr>
      <w:rFonts w:ascii="Liberation Sans" w:hAnsi="Liberation Sans"/>
      <w:b/>
      <w:color w:val="355269"/>
      <w:sz w:val="28"/>
    </w:rPr>
  </w:style>
  <w:style w:type="paragraph" w:styleId="Contornoverde">
    <w:name w:val="Contorno verde"/>
    <w:basedOn w:val="Contorno"/>
    <w:qFormat/>
    <w:pPr/>
    <w:rPr>
      <w:rFonts w:ascii="Liberation Sans" w:hAnsi="Liberation Sans"/>
      <w:b/>
      <w:color w:val="127622"/>
      <w:sz w:val="28"/>
    </w:rPr>
  </w:style>
  <w:style w:type="paragraph" w:styleId="Contornovermelho">
    <w:name w:val="Contorno vermelho"/>
    <w:basedOn w:val="Contorno"/>
    <w:qFormat/>
    <w:pPr/>
    <w:rPr>
      <w:rFonts w:ascii="Liberation Sans" w:hAnsi="Liberation Sans"/>
      <w:b/>
      <w:color w:val="C9211E"/>
      <w:sz w:val="28"/>
    </w:rPr>
  </w:style>
  <w:style w:type="paragraph" w:styleId="Contornoamarelo">
    <w:name w:val="Contorno amarelo"/>
    <w:basedOn w:val="Contorno"/>
    <w:qFormat/>
    <w:pPr/>
    <w:rPr>
      <w:rFonts w:ascii="Liberation Sans" w:hAnsi="Liberation Sans"/>
      <w:b/>
      <w:color w:val="B47804"/>
      <w:sz w:val="28"/>
    </w:rPr>
  </w:style>
  <w:style w:type="paragraph" w:styleId="Linhas">
    <w:name w:val="Linhas"/>
    <w:basedOn w:val="Figura"/>
    <w:qFormat/>
    <w:pPr/>
    <w:rPr>
      <w:rFonts w:ascii="Liberation Sans" w:hAnsi="Liberation Sans"/>
      <w:sz w:val="36"/>
    </w:rPr>
  </w:style>
  <w:style w:type="paragraph" w:styleId="Linhascomsetas">
    <w:name w:val="Linhas com setas"/>
    <w:basedOn w:val="Linhas"/>
    <w:qFormat/>
    <w:pPr/>
    <w:rPr>
      <w:rFonts w:ascii="Liberation Sans" w:hAnsi="Liberation Sans"/>
      <w:sz w:val="36"/>
    </w:rPr>
  </w:style>
  <w:style w:type="paragraph" w:styleId="Linhastracejadas">
    <w:name w:val="Linhas tracejadas"/>
    <w:basedOn w:val="Linha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BlankSlideLTUntertitel">
    <w:name w:val="Blank Slide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BlankSlideLTNotizen">
    <w:name w:val="Blank Slide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BlankSlideLTHintergrundobjekte">
    <w:name w:val="Blank Slide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BlankSlideLTHintergrund">
    <w:name w:val="Blank Slide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1LTGliederung1">
    <w:name w:val="Padrão 1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Padro1LTGliederung2">
    <w:name w:val="Padrão 1~LT~Gliederung 2"/>
    <w:basedOn w:val="Padro1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adro1LTGliederung3">
    <w:name w:val="Padrão 1~LT~Gliederung 3"/>
    <w:basedOn w:val="Padro1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adro1LTGliederung4">
    <w:name w:val="Padrão 1~LT~Gliederung 4"/>
    <w:basedOn w:val="Padro1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5">
    <w:name w:val="Padrão 1~LT~Gliederung 5"/>
    <w:basedOn w:val="Padro1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6">
    <w:name w:val="Padrão 1~LT~Gliederung 6"/>
    <w:basedOn w:val="Padro1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7">
    <w:name w:val="Padrão 1~LT~Gliederung 7"/>
    <w:basedOn w:val="Padro1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8">
    <w:name w:val="Padrão 1~LT~Gliederung 8"/>
    <w:basedOn w:val="Padro1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Gliederung9">
    <w:name w:val="Padrão 1~LT~Gliederung 9"/>
    <w:basedOn w:val="Padro1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1LTTitel">
    <w:name w:val="Padrão 1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1LTUntertitel">
    <w:name w:val="Padrão 1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Padro1LTNotizen">
    <w:name w:val="Padrão 1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Padro1LTHintergrundobjekte">
    <w:name w:val="Padrão 1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1LTHintergrund">
    <w:name w:val="Padrão 1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2LTGliederung1">
    <w:name w:val="Padrão 2~LT~Gliederung 1"/>
    <w:qFormat/>
    <w:pPr>
      <w:widowControl/>
      <w:suppressAutoHyphens w:val="true"/>
      <w:bidi w:val="0"/>
      <w:spacing w:before="283" w:after="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pt-BR" w:eastAsia="zh-CN" w:bidi="hi-IN"/>
    </w:rPr>
  </w:style>
  <w:style w:type="paragraph" w:styleId="Padro2LTGliederung2">
    <w:name w:val="Padrão 2~LT~Gliederung 2"/>
    <w:basedOn w:val="Padro2LTGliederung1"/>
    <w:qFormat/>
    <w:pPr>
      <w:spacing w:before="22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adro2LTGliederung3">
    <w:name w:val="Padrão 2~LT~Gliederung 3"/>
    <w:basedOn w:val="Padro2LTGliederung2"/>
    <w:qFormat/>
    <w:pPr>
      <w:spacing w:before="170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adro2LTGliederung4">
    <w:name w:val="Padrão 2~LT~Gliederung 4"/>
    <w:basedOn w:val="Padro2LTGliederung3"/>
    <w:qFormat/>
    <w:pPr>
      <w:spacing w:before="113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5">
    <w:name w:val="Padrão 2~LT~Gliederung 5"/>
    <w:basedOn w:val="Padro2LTGliederung4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6">
    <w:name w:val="Padrão 2~LT~Gliederung 6"/>
    <w:basedOn w:val="Padro2LTGliederung5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7">
    <w:name w:val="Padrão 2~LT~Gliederung 7"/>
    <w:basedOn w:val="Padro2LTGliederung6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8">
    <w:name w:val="Padrão 2~LT~Gliederung 8"/>
    <w:basedOn w:val="Padro2LTGliederung7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Gliederung9">
    <w:name w:val="Padrão 2~LT~Gliederung 9"/>
    <w:basedOn w:val="Padro2LTGliederung8"/>
    <w:qFormat/>
    <w:pPr>
      <w:spacing w:before="57" w:after="0"/>
    </w:pPr>
    <w:rPr>
      <w:rFonts w:ascii="Lucida Sans" w:hAnsi="Lucida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adro2LTTitel">
    <w:name w:val="Padrão 2~LT~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pt-BR" w:eastAsia="zh-CN" w:bidi="hi-IN"/>
    </w:rPr>
  </w:style>
  <w:style w:type="paragraph" w:styleId="Padro2LTUntertitel">
    <w:name w:val="Padrão 2~LT~Untertitel"/>
    <w:qFormat/>
    <w:pPr>
      <w:widowControl/>
      <w:suppressAutoHyphens w:val="true"/>
      <w:bidi w:val="0"/>
      <w:spacing w:before="0" w:after="0"/>
      <w:jc w:val="center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pt-BR" w:eastAsia="zh-CN" w:bidi="hi-IN"/>
    </w:rPr>
  </w:style>
  <w:style w:type="paragraph" w:styleId="Padro2LTNotizen">
    <w:name w:val="Padrão 2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Lucida Sans" w:hAnsi="Lucida Sans" w:eastAsia="Tahoma" w:cs="Noto 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pt-BR" w:eastAsia="zh-CN" w:bidi="hi-IN"/>
    </w:rPr>
  </w:style>
  <w:style w:type="paragraph" w:styleId="Padro2LTHintergrundobjekte">
    <w:name w:val="Padrão 2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paragraph" w:styleId="Padro2LTHintergrund">
    <w:name w:val="Padrão 2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Tahoma" w:cs="Noto Sans"/>
      <w:color w:val="auto"/>
      <w:kern w:val="2"/>
      <w:sz w:val="24"/>
      <w:szCs w:val="24"/>
      <w:lang w:val="pt-BR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package" Target="embeddings/oleObject1.xlsx"/><Relationship Id="rId11" Type="http://schemas.openxmlformats.org/officeDocument/2006/relationships/image" Target="media/image3.emf"/><Relationship Id="rId12" Type="http://schemas.openxmlformats.org/officeDocument/2006/relationships/package" Target="embeddings/oleObject2.xlsx"/><Relationship Id="rId13" Type="http://schemas.openxmlformats.org/officeDocument/2006/relationships/image" Target="media/image4.emf"/><Relationship Id="rId14" Type="http://schemas.openxmlformats.org/officeDocument/2006/relationships/package" Target="embeddings/oleObject3.xlsx"/><Relationship Id="rId15" Type="http://schemas.openxmlformats.org/officeDocument/2006/relationships/image" Target="media/image5.emf"/><Relationship Id="rId16" Type="http://schemas.openxmlformats.org/officeDocument/2006/relationships/package" Target="embeddings/oleObject4.xlsx"/><Relationship Id="rId17" Type="http://schemas.openxmlformats.org/officeDocument/2006/relationships/image" Target="media/image6.emf"/><Relationship Id="rId18" Type="http://schemas.openxmlformats.org/officeDocument/2006/relationships/package" Target="embeddings/oleObject5.xlsx"/><Relationship Id="rId19" Type="http://schemas.openxmlformats.org/officeDocument/2006/relationships/image" Target="media/image7.emf"/><Relationship Id="rId20" Type="http://schemas.openxmlformats.org/officeDocument/2006/relationships/image" Target="media/image8.png"/><Relationship Id="rId21" Type="http://schemas.openxmlformats.org/officeDocument/2006/relationships/header" Target="header4.xml"/><Relationship Id="rId22" Type="http://schemas.openxmlformats.org/officeDocument/2006/relationships/header" Target="header5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numbering" Target="numbering.xml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37697</TotalTime>
  <Application>LibreOffice/7.3.7.2$Windows_X86_64 LibreOffice_project/e114eadc50a9ff8d8c8a0567d6da8f454beeb84f</Application>
  <AppVersion>15.0000</AppVersion>
  <Pages>38</Pages>
  <Words>6103</Words>
  <Characters>35331</Characters>
  <CharactersWithSpaces>42163</CharactersWithSpaces>
  <Paragraphs>887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2017-02-22T17:32:39Z</dcterms:created>
  <dc:creator/>
  <dc:description/>
  <dc:language>pt-BR</dc:language>
  <cp:lastModifiedBy/>
  <cp:lastPrinted>2023-10-31T15:27:41Z</cp:lastPrinted>
  <dcterms:modified xsi:type="dcterms:W3CDTF">2024-04-10T23:08:41Z</dcterms:modified>
  <cp:revision>1489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